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3A" w:rsidRPr="0079666E" w:rsidRDefault="003B0A3A" w:rsidP="003B0A3A">
      <w:pPr>
        <w:pStyle w:val="Bezodstpw"/>
        <w:jc w:val="center"/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>Uzasadnienie</w:t>
      </w:r>
    </w:p>
    <w:p w:rsidR="003B0A3A" w:rsidRDefault="003B0A3A" w:rsidP="003B0A3A">
      <w:pPr>
        <w:pStyle w:val="Bezodstpw"/>
        <w:rPr>
          <w:sz w:val="24"/>
          <w:szCs w:val="24"/>
        </w:rPr>
      </w:pPr>
    </w:p>
    <w:p w:rsidR="003B0A3A" w:rsidRDefault="003B0A3A" w:rsidP="003B0A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Srokowo podjęła w dniu 28 września 2018 roku uchwałę nr. LV/289/18                          w sprawie </w:t>
      </w:r>
      <w:r w:rsidRPr="0023638A">
        <w:rPr>
          <w:sz w:val="24"/>
          <w:szCs w:val="24"/>
        </w:rPr>
        <w:t xml:space="preserve">szczegółowych warunków przyznawania i odpłatności za usługi opiekuńcze </w:t>
      </w:r>
      <w:r>
        <w:rPr>
          <w:sz w:val="24"/>
          <w:szCs w:val="24"/>
        </w:rPr>
        <w:t xml:space="preserve">                        </w:t>
      </w:r>
      <w:r w:rsidRPr="0023638A">
        <w:rPr>
          <w:sz w:val="24"/>
          <w:szCs w:val="24"/>
        </w:rPr>
        <w:t>i specjalistyczne usługi opiekuńcze, z wyłączeniem specjalistycznych usług opiekuńczych dla osób z zaburzeniami psychicznymi oraz szczegółowe warunki częściowego lub całkowitego zwolnienia od opłat, jak również tryb ich pobierania</w:t>
      </w:r>
      <w:r>
        <w:rPr>
          <w:sz w:val="24"/>
          <w:szCs w:val="24"/>
        </w:rPr>
        <w:t>.</w:t>
      </w:r>
    </w:p>
    <w:p w:rsidR="003B0A3A" w:rsidRDefault="003B0A3A" w:rsidP="003B0A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przekazana została w trybie nadzoru do Wojewody Warmińsko-Mazurskiego                          w Olsztynie w celu stwierdzenia jej zgodności z obowiązującym prawem. Rozstrzygnięciem nadzorczym wydanym w dniu 2 listopada 2018 roku  Wojewoda Warmińsko-Mazurski stwierdził nieważność badanej uchwały </w:t>
      </w:r>
      <w:r w:rsidRPr="00801FB4">
        <w:rPr>
          <w:sz w:val="24"/>
          <w:szCs w:val="24"/>
        </w:rPr>
        <w:t xml:space="preserve">w części dotyczącej § 4, § 5 pkt. 1 w zakresie sformułowania „ w terminie do 10-go dnia następnego miesiąca po upływie miesiąca, </w:t>
      </w:r>
      <w:r>
        <w:rPr>
          <w:sz w:val="24"/>
          <w:szCs w:val="24"/>
        </w:rPr>
        <w:t xml:space="preserve">                        </w:t>
      </w:r>
      <w:r w:rsidRPr="00801FB4">
        <w:rPr>
          <w:sz w:val="24"/>
          <w:szCs w:val="24"/>
        </w:rPr>
        <w:t>w którym świadczono usługi”, § 6 załącznika do wymienionej uchwały.</w:t>
      </w:r>
    </w:p>
    <w:p w:rsidR="003B0A3A" w:rsidRDefault="003B0A3A" w:rsidP="003B0A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Uzasadniając rozstrzygnięcie Wojewoda stwierdził  naruszenie art. 50 ust. 6 ustawy z dnia 12 marca 2004 roku  o pomocy społecznej, poprzez brak szczegółowych uregulowań zawartych wprowadzanych do uchwały w oparciu o przepis art. 50 ust. 6 ustawy o pomocy społecznej.</w:t>
      </w:r>
    </w:p>
    <w:p w:rsidR="003B0A3A" w:rsidRDefault="003B0A3A" w:rsidP="003B0A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Ze stanowiskiem Wojewody w przedstawionej materii nie można się zgodzić albowiem                       w zakwestionowanych przepisach uchwały Rada Gminy wypełniła dyspozycje zawarte                               w ustawie, czego jednak Wojewoda nie zauważył.</w:t>
      </w:r>
    </w:p>
    <w:p w:rsidR="003B0A3A" w:rsidRDefault="003B0A3A" w:rsidP="003B0A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Załączony do uchwały projekt skargi w sposób szczegółowy wyjaśnia stanowisko Rady zawarte w podjętej uchwale.</w:t>
      </w:r>
    </w:p>
    <w:p w:rsidR="003B0A3A" w:rsidRDefault="003B0A3A" w:rsidP="003B0A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Rada Gminy Srokowo stoi na stanowisku, iż istotę problemu, a także interpretację zakwestionowanych przepisów uchwały winien wyjaśnić  Wojewódzki Sąd Administracyjny, dlatego popiera treść oraz wnioski załączonej skargi.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3A"/>
    <w:rsid w:val="002C2D9F"/>
    <w:rsid w:val="003B0A3A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1555-840A-42A3-94E0-FF482E1B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A3A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2018-12-04T11:03:00Z</dcterms:created>
  <dcterms:modified xsi:type="dcterms:W3CDTF">2018-12-04T11:03:00Z</dcterms:modified>
</cp:coreProperties>
</file>