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9F88" w14:textId="77777777" w:rsidR="001505AD" w:rsidRPr="002A36BD" w:rsidRDefault="001505AD" w:rsidP="001505AD">
      <w:pPr>
        <w:autoSpaceDE w:val="0"/>
        <w:autoSpaceDN w:val="0"/>
        <w:adjustRightInd w:val="0"/>
        <w:ind w:left="6372"/>
        <w:rPr>
          <w:sz w:val="22"/>
          <w:szCs w:val="22"/>
        </w:rPr>
      </w:pPr>
      <w:r w:rsidRPr="002A36BD">
        <w:rPr>
          <w:sz w:val="22"/>
          <w:szCs w:val="22"/>
        </w:rPr>
        <w:t xml:space="preserve">Załącznik Nr 1 </w:t>
      </w:r>
    </w:p>
    <w:p w14:paraId="1B48FFD2" w14:textId="5FDB11E7" w:rsidR="001505AD" w:rsidRPr="002A36BD" w:rsidRDefault="001505AD" w:rsidP="001505AD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2A36BD">
        <w:rPr>
          <w:sz w:val="22"/>
          <w:szCs w:val="22"/>
        </w:rPr>
        <w:t xml:space="preserve">do Zarządzenia Nr </w:t>
      </w:r>
      <w:r w:rsidR="002450C1">
        <w:rPr>
          <w:sz w:val="22"/>
          <w:szCs w:val="22"/>
        </w:rPr>
        <w:t>75</w:t>
      </w:r>
      <w:r w:rsidRPr="002A36BD">
        <w:rPr>
          <w:sz w:val="22"/>
          <w:szCs w:val="22"/>
        </w:rPr>
        <w:t>/2</w:t>
      </w:r>
      <w:r>
        <w:rPr>
          <w:sz w:val="22"/>
          <w:szCs w:val="22"/>
        </w:rPr>
        <w:t>02</w:t>
      </w:r>
      <w:r w:rsidR="003C3EFB">
        <w:rPr>
          <w:sz w:val="22"/>
          <w:szCs w:val="22"/>
        </w:rPr>
        <w:t>4</w:t>
      </w:r>
    </w:p>
    <w:p w14:paraId="5A8AE5D7" w14:textId="77777777" w:rsidR="001505AD" w:rsidRPr="002A36BD" w:rsidRDefault="001505AD" w:rsidP="001505AD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2A36BD">
        <w:rPr>
          <w:sz w:val="22"/>
          <w:szCs w:val="22"/>
        </w:rPr>
        <w:t xml:space="preserve">Wójta Gminy Srokowo </w:t>
      </w:r>
    </w:p>
    <w:p w14:paraId="1DA05F0C" w14:textId="58A24CBD" w:rsidR="001505AD" w:rsidRPr="00484ADA" w:rsidRDefault="001505AD" w:rsidP="001505AD">
      <w:pPr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 w:rsidRPr="002A36BD">
        <w:rPr>
          <w:sz w:val="22"/>
          <w:szCs w:val="22"/>
        </w:rPr>
        <w:t>z dnia</w:t>
      </w:r>
      <w:r w:rsidR="002450C1">
        <w:rPr>
          <w:sz w:val="22"/>
          <w:szCs w:val="22"/>
        </w:rPr>
        <w:t xml:space="preserve"> 30</w:t>
      </w:r>
      <w:r w:rsidRPr="002A36BD">
        <w:rPr>
          <w:sz w:val="22"/>
          <w:szCs w:val="22"/>
        </w:rPr>
        <w:t xml:space="preserve"> sierpnia  202</w:t>
      </w:r>
      <w:r w:rsidR="003C3EF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A36B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2C6AFF17" w14:textId="12EDD87E" w:rsidR="001505AD" w:rsidRPr="002A36BD" w:rsidRDefault="001505AD" w:rsidP="001505AD">
      <w:pPr>
        <w:pStyle w:val="NormalnyWeb"/>
        <w:jc w:val="center"/>
        <w:rPr>
          <w:color w:val="000033"/>
        </w:rPr>
      </w:pPr>
      <w:r w:rsidRPr="002A36BD">
        <w:rPr>
          <w:b/>
          <w:color w:val="000033"/>
        </w:rPr>
        <w:t>Zasady konstrukcji projektu budżetu Gminy Srokowo na 202</w:t>
      </w:r>
      <w:r w:rsidR="003C3EFB">
        <w:rPr>
          <w:b/>
          <w:color w:val="000033"/>
        </w:rPr>
        <w:t>5</w:t>
      </w:r>
      <w:r w:rsidRPr="002A36BD">
        <w:rPr>
          <w:b/>
          <w:color w:val="000033"/>
        </w:rPr>
        <w:t xml:space="preserve"> r.</w:t>
      </w:r>
    </w:p>
    <w:p w14:paraId="1FC8E3E2" w14:textId="77777777" w:rsidR="001505AD" w:rsidRPr="00D323C4" w:rsidRDefault="001505AD" w:rsidP="001505A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323C4">
        <w:rPr>
          <w:rFonts w:eastAsia="Calibri"/>
          <w:lang w:eastAsia="en-US"/>
        </w:rPr>
        <w:t>§ 1.</w:t>
      </w:r>
    </w:p>
    <w:p w14:paraId="78DB165C" w14:textId="56F3734E" w:rsidR="001505AD" w:rsidRPr="002A36BD" w:rsidRDefault="001505AD" w:rsidP="000E52B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Ustalam założenia określające zasady konstrukcji, prognozowania dochodów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i planowania wydatków do projektu budżetu na 202</w:t>
      </w:r>
      <w:r w:rsidR="000E287B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rok i aktualizacji wieloletniej prognozy finansowej Gminy Srokowo.</w:t>
      </w:r>
    </w:p>
    <w:p w14:paraId="07F5CFA5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C2BA91B" w14:textId="77777777" w:rsidR="001505AD" w:rsidRPr="00D323C4" w:rsidRDefault="001505AD" w:rsidP="001505A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323C4">
        <w:rPr>
          <w:rFonts w:eastAsia="Calibri"/>
          <w:lang w:eastAsia="en-US"/>
        </w:rPr>
        <w:t>§ 2.</w:t>
      </w:r>
    </w:p>
    <w:p w14:paraId="32036B8B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2A36BD">
        <w:rPr>
          <w:rFonts w:eastAsia="Calibri"/>
          <w:lang w:eastAsia="en-US"/>
        </w:rPr>
        <w:t xml:space="preserve">. Projekt budżetu będzie posiadał wymaganą szczegółowość oraz spełniał wymogi dotyczące uzasadnienia i materiałów informacyjnych przedkładanych Radzie Gminy Srokowo  wraz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z projektem uchwały budżetowej, określone Uchwałą Nr XLIX/284/2010 Rady Gminy Srokowo z dnia 30 sierpnia 2010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>.</w:t>
      </w:r>
      <w:r w:rsidRPr="002A36BD">
        <w:rPr>
          <w:rFonts w:eastAsia="Calibri"/>
          <w:lang w:eastAsia="en-US"/>
        </w:rPr>
        <w:t xml:space="preserve"> w sprawie procedury uchwalania budżetu Gminy oraz rodzaju i szczegółowości materiałów </w:t>
      </w:r>
      <w:r>
        <w:rPr>
          <w:rFonts w:eastAsia="Calibri"/>
          <w:lang w:eastAsia="en-US"/>
        </w:rPr>
        <w:t xml:space="preserve">informacyjnych </w:t>
      </w:r>
      <w:r w:rsidRPr="002A36BD">
        <w:rPr>
          <w:rFonts w:eastAsia="Calibri"/>
          <w:lang w:eastAsia="en-US"/>
        </w:rPr>
        <w:t>towarzyszących projektowi budżetu.</w:t>
      </w:r>
    </w:p>
    <w:p w14:paraId="48417B5A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2. Projekt budżetu oraz aktualizacja wieloletniej prognozy finansowej będą opracowywane przy wykorzystaniu:</w:t>
      </w:r>
    </w:p>
    <w:p w14:paraId="13260CF5" w14:textId="306EA8FD" w:rsidR="001505AD" w:rsidRPr="002A36BD" w:rsidRDefault="001505AD" w:rsidP="001505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aktualnych przepisów prawa,  informacji i danych zawartych w dokumentach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i prognozach rządowych, w tym m.in. w: „Założeniach do projektu budżetu państwa na rok 202</w:t>
      </w:r>
      <w:r w:rsidR="000E287B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>”,</w:t>
      </w:r>
      <w:r w:rsidR="000E52BB"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projektu ustawy budżetowej na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202</w:t>
      </w:r>
      <w:r w:rsidR="000E287B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r, projektu ustawy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o szczególnych rozwiązaniach służących realizacji ustawy budżetowej na rok 202</w:t>
      </w:r>
      <w:r w:rsidR="000E287B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>.;</w:t>
      </w:r>
    </w:p>
    <w:p w14:paraId="35CBBDA4" w14:textId="77777777" w:rsidR="001505AD" w:rsidRPr="002A36BD" w:rsidRDefault="001505AD" w:rsidP="001505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informacji określających przyjęte w projekcie budżetu państwa kwoty udziałów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w podatku dochodowym od osób fizycznych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PIT oraz  kwoty subwencji ogólnych, dotacji celowych oraz wpłat do budżetu państwa</w:t>
      </w:r>
      <w:r>
        <w:rPr>
          <w:rFonts w:eastAsia="Calibri"/>
          <w:lang w:eastAsia="en-US"/>
        </w:rPr>
        <w:t>;</w:t>
      </w:r>
    </w:p>
    <w:p w14:paraId="6436FD9D" w14:textId="4EA2CA4C" w:rsidR="001505AD" w:rsidRPr="002A36BD" w:rsidRDefault="001505AD" w:rsidP="001505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przewidywanego wykonania budżetu Gminy w 202</w:t>
      </w:r>
      <w:r w:rsidR="000E287B">
        <w:rPr>
          <w:rFonts w:eastAsia="Calibri"/>
          <w:lang w:eastAsia="en-US"/>
        </w:rPr>
        <w:t>4</w:t>
      </w:r>
      <w:r w:rsidRPr="002A36BD">
        <w:rPr>
          <w:rFonts w:eastAsia="Calibri"/>
          <w:lang w:eastAsia="en-US"/>
        </w:rPr>
        <w:t xml:space="preserve"> r</w:t>
      </w:r>
      <w:r>
        <w:rPr>
          <w:rFonts w:eastAsia="Calibri"/>
          <w:lang w:eastAsia="en-US"/>
        </w:rPr>
        <w:t>.</w:t>
      </w:r>
      <w:r w:rsidR="000E287B">
        <w:rPr>
          <w:rFonts w:eastAsia="Calibri"/>
          <w:lang w:eastAsia="en-US"/>
        </w:rPr>
        <w:t xml:space="preserve"> oraz</w:t>
      </w:r>
      <w:r w:rsidRPr="002A36BD">
        <w:rPr>
          <w:rFonts w:eastAsia="Calibri"/>
          <w:lang w:eastAsia="en-US"/>
        </w:rPr>
        <w:t xml:space="preserve"> informacji i analiz własnych.</w:t>
      </w:r>
    </w:p>
    <w:p w14:paraId="2CAC635A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C6C3C13" w14:textId="77777777" w:rsidR="001505AD" w:rsidRPr="00174B55" w:rsidRDefault="001505AD" w:rsidP="001505A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74B55">
        <w:rPr>
          <w:rFonts w:eastAsia="Calibri"/>
          <w:lang w:eastAsia="en-US"/>
        </w:rPr>
        <w:t>§ 3.</w:t>
      </w:r>
    </w:p>
    <w:p w14:paraId="0F499094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1. Prognoza dochodów do projektu budżetu i wieloletniej prognozy finansowej będzie uwzględniała następujące złożenia:</w:t>
      </w:r>
    </w:p>
    <w:p w14:paraId="143C31FE" w14:textId="64A97CC0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bieżące</w:t>
      </w:r>
      <w:r w:rsidR="004A2F14">
        <w:rPr>
          <w:rFonts w:eastAsia="Calibri"/>
          <w:lang w:eastAsia="en-US"/>
        </w:rPr>
        <w:t xml:space="preserve"> (</w:t>
      </w:r>
      <w:r w:rsidRPr="002A36BD">
        <w:rPr>
          <w:rFonts w:eastAsia="Calibri"/>
          <w:lang w:eastAsia="en-US"/>
        </w:rPr>
        <w:t>własne</w:t>
      </w:r>
      <w:r w:rsidR="004A2F14">
        <w:rPr>
          <w:rFonts w:eastAsia="Calibri"/>
          <w:lang w:eastAsia="en-US"/>
        </w:rPr>
        <w:t>)</w:t>
      </w:r>
      <w:r w:rsidRPr="002A36BD">
        <w:rPr>
          <w:rFonts w:eastAsia="Calibri"/>
          <w:lang w:eastAsia="en-US"/>
        </w:rPr>
        <w:t xml:space="preserve"> będą zaplanowane</w:t>
      </w:r>
      <w:r w:rsidR="00D1160D">
        <w:rPr>
          <w:rFonts w:eastAsia="Calibri"/>
          <w:lang w:eastAsia="en-US"/>
        </w:rPr>
        <w:t xml:space="preserve"> z z</w:t>
      </w:r>
      <w:r w:rsidRPr="002A36BD">
        <w:rPr>
          <w:rFonts w:eastAsia="Calibri"/>
          <w:lang w:eastAsia="en-US"/>
        </w:rPr>
        <w:t>astosowaniem stawek wynikających</w:t>
      </w:r>
      <w:r w:rsidR="004F1013">
        <w:rPr>
          <w:rFonts w:eastAsia="Calibri"/>
          <w:lang w:eastAsia="en-US"/>
        </w:rPr>
        <w:t xml:space="preserve"> </w:t>
      </w:r>
      <w:r w:rsidR="004A2F14"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z przepisów prawa i zawartych umów oraz przy uwzględnieniu przewidywanego wykonania w 202</w:t>
      </w:r>
      <w:r w:rsidR="000E287B">
        <w:rPr>
          <w:rFonts w:eastAsia="Calibri"/>
          <w:lang w:eastAsia="en-US"/>
        </w:rPr>
        <w:t>4</w:t>
      </w:r>
      <w:r w:rsidRPr="002A36BD">
        <w:rPr>
          <w:rFonts w:eastAsia="Calibri"/>
          <w:lang w:eastAsia="en-US"/>
        </w:rPr>
        <w:t xml:space="preserve"> r</w:t>
      </w:r>
      <w:r>
        <w:rPr>
          <w:rFonts w:eastAsia="Calibri"/>
          <w:lang w:eastAsia="en-US"/>
        </w:rPr>
        <w:t xml:space="preserve">. </w:t>
      </w:r>
      <w:r w:rsidRPr="002A36BD">
        <w:rPr>
          <w:rFonts w:eastAsia="Calibri"/>
          <w:lang w:eastAsia="en-US"/>
        </w:rPr>
        <w:t>i wskaźników makroekonomicznych</w:t>
      </w:r>
      <w:r>
        <w:rPr>
          <w:rFonts w:eastAsia="Calibri"/>
          <w:lang w:eastAsia="en-US"/>
        </w:rPr>
        <w:t>;</w:t>
      </w:r>
    </w:p>
    <w:p w14:paraId="6456A7E6" w14:textId="3601BA72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bieżące z tytułu udziałów w  dochod</w:t>
      </w:r>
      <w:r w:rsidR="002450C1">
        <w:rPr>
          <w:rFonts w:eastAsia="Calibri"/>
          <w:lang w:eastAsia="en-US"/>
        </w:rPr>
        <w:t>ach</w:t>
      </w:r>
      <w:r w:rsidRPr="002A36BD">
        <w:rPr>
          <w:rFonts w:eastAsia="Calibri"/>
          <w:lang w:eastAsia="en-US"/>
        </w:rPr>
        <w:t xml:space="preserve"> osób fizycznych –PIT oraz </w:t>
      </w:r>
      <w:r w:rsidR="002450C1">
        <w:rPr>
          <w:rFonts w:eastAsia="Calibri"/>
          <w:lang w:eastAsia="en-US"/>
        </w:rPr>
        <w:t xml:space="preserve">osób prawnych </w:t>
      </w:r>
      <w:r w:rsidRPr="002A36BD">
        <w:rPr>
          <w:rFonts w:eastAsia="Calibri"/>
          <w:lang w:eastAsia="en-US"/>
        </w:rPr>
        <w:t>CIT  oraz subwencji  będą zaplanowane na 202</w:t>
      </w:r>
      <w:r w:rsidR="00407390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rok w wysokości kwot prognozowanych przez Ministerstwo Finansów,</w:t>
      </w:r>
      <w:r w:rsidR="00407390"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natomiast w latach następnych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z uwzględnieniem przewidywanego wykonania w 202</w:t>
      </w:r>
      <w:r w:rsidR="00407390">
        <w:rPr>
          <w:rFonts w:eastAsia="Calibri"/>
          <w:lang w:eastAsia="en-US"/>
        </w:rPr>
        <w:t>4</w:t>
      </w:r>
      <w:r w:rsidRPr="002A36BD">
        <w:rPr>
          <w:rFonts w:eastAsia="Calibri"/>
          <w:lang w:eastAsia="en-US"/>
        </w:rPr>
        <w:t xml:space="preserve"> roku i wskaźników makroekonomicznych</w:t>
      </w:r>
      <w:r>
        <w:rPr>
          <w:rFonts w:eastAsia="Calibri"/>
          <w:lang w:eastAsia="en-US"/>
        </w:rPr>
        <w:t>;</w:t>
      </w:r>
    </w:p>
    <w:p w14:paraId="6B741F75" w14:textId="3415CBAD" w:rsidR="001505AD" w:rsidRPr="002A36BD" w:rsidRDefault="001505AD" w:rsidP="001505AD">
      <w:pPr>
        <w:pStyle w:val="NormalnyWeb"/>
        <w:numPr>
          <w:ilvl w:val="0"/>
          <w:numId w:val="9"/>
        </w:numPr>
        <w:jc w:val="both"/>
      </w:pPr>
      <w:r>
        <w:t>p</w:t>
      </w:r>
      <w:r w:rsidRPr="002A36BD">
        <w:t xml:space="preserve">rojekcja budżetu państwa  przewiduje  </w:t>
      </w:r>
      <w:r w:rsidR="00724294">
        <w:t>3,1</w:t>
      </w:r>
      <w:r w:rsidRPr="00C50796">
        <w:t xml:space="preserve"> %</w:t>
      </w:r>
      <w:r>
        <w:t xml:space="preserve"> -ową</w:t>
      </w:r>
      <w:r w:rsidRPr="002A36BD">
        <w:rPr>
          <w:rStyle w:val="Pogrubienie"/>
        </w:rPr>
        <w:t xml:space="preserve"> </w:t>
      </w:r>
      <w:r w:rsidRPr="002B6013">
        <w:rPr>
          <w:rStyle w:val="Pogrubienie"/>
          <w:b w:val="0"/>
          <w:bCs w:val="0"/>
        </w:rPr>
        <w:t>dynamikę PKB w 202</w:t>
      </w:r>
      <w:r w:rsidR="00724294">
        <w:rPr>
          <w:rStyle w:val="Pogrubienie"/>
          <w:b w:val="0"/>
          <w:bCs w:val="0"/>
        </w:rPr>
        <w:t>4</w:t>
      </w:r>
      <w:r>
        <w:rPr>
          <w:rStyle w:val="Pogrubienie"/>
          <w:b w:val="0"/>
          <w:bCs w:val="0"/>
        </w:rPr>
        <w:t xml:space="preserve"> r.</w:t>
      </w:r>
      <w:r w:rsidRPr="002B6013">
        <w:rPr>
          <w:rStyle w:val="Pogrubienie"/>
          <w:b w:val="0"/>
          <w:bCs w:val="0"/>
        </w:rPr>
        <w:t xml:space="preserve"> a</w:t>
      </w:r>
      <w:r w:rsidRPr="002A36BD">
        <w:rPr>
          <w:rStyle w:val="Pogrubienie"/>
        </w:rPr>
        <w:t xml:space="preserve"> </w:t>
      </w:r>
      <w:r w:rsidRPr="00FB570D">
        <w:rPr>
          <w:rStyle w:val="Pogrubienie"/>
          <w:b w:val="0"/>
          <w:bCs w:val="0"/>
        </w:rPr>
        <w:t>3,</w:t>
      </w:r>
      <w:r w:rsidR="002450C1">
        <w:rPr>
          <w:rStyle w:val="Pogrubienie"/>
          <w:b w:val="0"/>
          <w:bCs w:val="0"/>
        </w:rPr>
        <w:t>9 %</w:t>
      </w:r>
      <w:r w:rsidRPr="002A36BD">
        <w:rPr>
          <w:rStyle w:val="Pogrubienie"/>
        </w:rPr>
        <w:t xml:space="preserve"> </w:t>
      </w:r>
      <w:r w:rsidRPr="00A94643">
        <w:rPr>
          <w:rStyle w:val="Pogrubienie"/>
          <w:b w:val="0"/>
          <w:bCs w:val="0"/>
        </w:rPr>
        <w:t>PKB w 202</w:t>
      </w:r>
      <w:r w:rsidR="00724294">
        <w:rPr>
          <w:rStyle w:val="Pogrubienie"/>
          <w:b w:val="0"/>
          <w:bCs w:val="0"/>
        </w:rPr>
        <w:t>5</w:t>
      </w:r>
      <w:r>
        <w:rPr>
          <w:rStyle w:val="Pogrubienie"/>
          <w:b w:val="0"/>
          <w:bCs w:val="0"/>
        </w:rPr>
        <w:t xml:space="preserve"> </w:t>
      </w:r>
      <w:r w:rsidRPr="00A94643">
        <w:rPr>
          <w:rStyle w:val="Pogrubienie"/>
          <w:b w:val="0"/>
          <w:bCs w:val="0"/>
        </w:rPr>
        <w:t>r.</w:t>
      </w:r>
      <w:r w:rsidRPr="002A36BD">
        <w:rPr>
          <w:rStyle w:val="Pogrubienie"/>
        </w:rPr>
        <w:t xml:space="preserve"> </w:t>
      </w:r>
      <w:r w:rsidRPr="002A36BD">
        <w:t xml:space="preserve"> </w:t>
      </w:r>
      <w:r w:rsidR="002450C1">
        <w:t>Z</w:t>
      </w:r>
      <w:r w:rsidRPr="002A36BD">
        <w:t>akłada</w:t>
      </w:r>
      <w:r w:rsidR="002450C1">
        <w:t xml:space="preserve"> się</w:t>
      </w:r>
      <w:r w:rsidRPr="002A36BD">
        <w:t>, że inflacja  w 202</w:t>
      </w:r>
      <w:r w:rsidR="00724294">
        <w:t>4</w:t>
      </w:r>
      <w:r w:rsidRPr="002A36BD">
        <w:t xml:space="preserve"> r. wyniesie</w:t>
      </w:r>
      <w:r>
        <w:t xml:space="preserve"> średnio </w:t>
      </w:r>
      <w:r w:rsidRPr="002A36BD">
        <w:t xml:space="preserve"> </w:t>
      </w:r>
      <w:r w:rsidR="00724294">
        <w:t>5,2</w:t>
      </w:r>
      <w:r w:rsidRPr="00FB570D">
        <w:t xml:space="preserve"> %</w:t>
      </w:r>
      <w:r>
        <w:t xml:space="preserve"> </w:t>
      </w:r>
      <w:r w:rsidRPr="002A36BD">
        <w:t xml:space="preserve"> </w:t>
      </w:r>
      <w:r>
        <w:br/>
      </w:r>
      <w:r w:rsidRPr="002A36BD">
        <w:t>a  w 202</w:t>
      </w:r>
      <w:r w:rsidR="00724294">
        <w:t>5</w:t>
      </w:r>
      <w:r w:rsidRPr="002A36BD">
        <w:t xml:space="preserve"> r. </w:t>
      </w:r>
      <w:r w:rsidR="002450C1">
        <w:t>5</w:t>
      </w:r>
      <w:r w:rsidRPr="00FB570D">
        <w:t xml:space="preserve"> %.</w:t>
      </w:r>
      <w:r>
        <w:t>;</w:t>
      </w:r>
    </w:p>
    <w:p w14:paraId="60E7C3D6" w14:textId="4215713F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bieżące z budżetu państwa na realizację zadań z zakresu administracji rządowej lub innych zleconych gminie i powiatowi oraz na realizację zadań własnych gminy i powiatu będą zaplanowane na 202</w:t>
      </w:r>
      <w:r w:rsidR="00B76699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rok i w latach następnych, w wysokości kwot wynikających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z zawiadomień dysponentów części budżetu państwa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o projektowanych kwotach dotacji celowych na 202</w:t>
      </w:r>
      <w:r w:rsidR="00724294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r.;</w:t>
      </w:r>
    </w:p>
    <w:p w14:paraId="3650DE28" w14:textId="00081513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bieżące pochodzące ze źródeł zewnętrznych innych niż wymienione</w:t>
      </w:r>
      <w:r w:rsidR="006E2C4B"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 xml:space="preserve"> w pkt</w:t>
      </w:r>
      <w:r>
        <w:rPr>
          <w:rFonts w:eastAsia="Calibri"/>
          <w:lang w:eastAsia="en-US"/>
        </w:rPr>
        <w:t>.</w:t>
      </w:r>
      <w:r w:rsidRPr="002A36B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Pr="002A36BD">
        <w:rPr>
          <w:rFonts w:eastAsia="Calibri"/>
          <w:lang w:eastAsia="en-US"/>
        </w:rPr>
        <w:t xml:space="preserve"> (np. z budżetu UE, funduszy celowych, budżetów innych jednostek samorządu </w:t>
      </w:r>
      <w:r w:rsidRPr="002A36BD">
        <w:rPr>
          <w:rFonts w:eastAsia="Calibri"/>
          <w:lang w:eastAsia="en-US"/>
        </w:rPr>
        <w:lastRenderedPageBreak/>
        <w:t>terytorialnego) będą zaplanowane zgodnie z zawartymi umowami/porozumieniami, bądź  też w wysokości wynikającej z posiadanych dokumentów określających wielkość przyznanego finansowania lub dofinansowania</w:t>
      </w:r>
      <w:r>
        <w:rPr>
          <w:rFonts w:eastAsia="Calibri"/>
          <w:lang w:eastAsia="en-US"/>
        </w:rPr>
        <w:t>;</w:t>
      </w:r>
    </w:p>
    <w:p w14:paraId="57677035" w14:textId="4F65977C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majątkowe (własne), w tym ze sprzedaży majątku, będą zaplanowane przy uwzględnieniu mienia przeznaczonego do sprzedaży</w:t>
      </w:r>
      <w:r>
        <w:rPr>
          <w:rFonts w:eastAsia="Calibri"/>
          <w:lang w:eastAsia="en-US"/>
        </w:rPr>
        <w:t xml:space="preserve"> w 202</w:t>
      </w:r>
      <w:r w:rsidR="00322FF2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r.</w:t>
      </w:r>
      <w:r w:rsidRPr="002A36BD">
        <w:rPr>
          <w:rFonts w:eastAsia="Calibri"/>
          <w:lang w:eastAsia="en-US"/>
        </w:rPr>
        <w:t xml:space="preserve"> oraz przewidywanego wykonania w 202</w:t>
      </w:r>
      <w:r w:rsidR="00322FF2">
        <w:rPr>
          <w:rFonts w:eastAsia="Calibri"/>
          <w:lang w:eastAsia="en-US"/>
        </w:rPr>
        <w:t>4</w:t>
      </w:r>
      <w:r w:rsidRPr="002A36BD">
        <w:rPr>
          <w:rFonts w:eastAsia="Calibri"/>
          <w:lang w:eastAsia="en-US"/>
        </w:rPr>
        <w:t xml:space="preserve"> r</w:t>
      </w:r>
      <w:r>
        <w:rPr>
          <w:rFonts w:eastAsia="Calibri"/>
          <w:lang w:eastAsia="en-US"/>
        </w:rPr>
        <w:t>.</w:t>
      </w:r>
      <w:r w:rsidR="00322FF2">
        <w:rPr>
          <w:rFonts w:eastAsia="Calibri"/>
          <w:lang w:eastAsia="en-US"/>
        </w:rPr>
        <w:t xml:space="preserve"> </w:t>
      </w:r>
      <w:r w:rsidR="00322FF2" w:rsidRPr="00407390">
        <w:rPr>
          <w:b/>
          <w:bCs/>
          <w:color w:val="000033"/>
        </w:rPr>
        <w:t>Wykaz mienia do planowanej sprzedaży w 2024 r. oraz umów najmu i dzierżawy stanowiący załącznik do projektu budżetu należy przedłożyć Skarbnikowi Gminy  do 1 października  2024 r.</w:t>
      </w:r>
      <w:r w:rsidRPr="00407390">
        <w:rPr>
          <w:rFonts w:eastAsia="Calibri"/>
          <w:b/>
          <w:bCs/>
          <w:lang w:eastAsia="en-US"/>
        </w:rPr>
        <w:t>;</w:t>
      </w:r>
    </w:p>
    <w:p w14:paraId="36488CA1" w14:textId="22390087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dochody majątkowe pochodzące ze źródeł zewnętrznych (np. z budżetu UE, budżetu państwa, funduszy celowych, innych jednostek samorządu terytorialnego) będą zaplanowane zgodnie z zawartymi umowami/porozumieniami, bądź też w wysokości wynikającej</w:t>
      </w:r>
      <w:r w:rsidR="00322FF2"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z posiadanych dokumentów określających wielkość przyznanego finansowania lub dofinansowania</w:t>
      </w:r>
      <w:r>
        <w:rPr>
          <w:rFonts w:eastAsia="Calibri"/>
          <w:lang w:eastAsia="en-US"/>
        </w:rPr>
        <w:t>;</w:t>
      </w:r>
    </w:p>
    <w:p w14:paraId="1847BB22" w14:textId="77777777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33"/>
        </w:rPr>
      </w:pPr>
      <w:r w:rsidRPr="002A36BD">
        <w:rPr>
          <w:color w:val="000033"/>
        </w:rPr>
        <w:t>informacje urzędów skarbowych na temat przewidywanych dochodów</w:t>
      </w:r>
      <w:r>
        <w:rPr>
          <w:color w:val="000033"/>
        </w:rPr>
        <w:t>;</w:t>
      </w:r>
    </w:p>
    <w:p w14:paraId="12E2B523" w14:textId="77777777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33"/>
        </w:rPr>
      </w:pPr>
      <w:r w:rsidRPr="002A36BD">
        <w:rPr>
          <w:color w:val="000033"/>
        </w:rPr>
        <w:t>planowane zmiany cen świadczonych usług</w:t>
      </w:r>
      <w:r>
        <w:rPr>
          <w:color w:val="000033"/>
        </w:rPr>
        <w:t>;</w:t>
      </w:r>
    </w:p>
    <w:p w14:paraId="1E4BB285" w14:textId="77777777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33"/>
        </w:rPr>
      </w:pPr>
      <w:r w:rsidRPr="002A36BD">
        <w:rPr>
          <w:color w:val="000033"/>
        </w:rPr>
        <w:t>przepisy podatkowe i prognozowane stawki podatków i opłat lokalnych</w:t>
      </w:r>
      <w:r>
        <w:rPr>
          <w:color w:val="000033"/>
        </w:rPr>
        <w:t>;</w:t>
      </w:r>
    </w:p>
    <w:p w14:paraId="48A4B255" w14:textId="77777777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33"/>
        </w:rPr>
      </w:pPr>
      <w:r w:rsidRPr="002A36BD">
        <w:rPr>
          <w:color w:val="000033"/>
        </w:rPr>
        <w:t>poziom windykacji zaległości podatkowych</w:t>
      </w:r>
      <w:r>
        <w:rPr>
          <w:color w:val="000033"/>
        </w:rPr>
        <w:t>;</w:t>
      </w:r>
    </w:p>
    <w:p w14:paraId="715A31BB" w14:textId="7F622847" w:rsidR="001505AD" w:rsidRPr="007B2426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B2426">
        <w:t xml:space="preserve">przyjąć do budżetu górne stawki podatków i opłat lokalnych (należy zakładać tam gdzie nie są stawki maksymalne osiągnięte - </w:t>
      </w:r>
      <w:r w:rsidRPr="00BD28B4">
        <w:rPr>
          <w:b/>
          <w:bCs/>
          <w:u w:val="single"/>
        </w:rPr>
        <w:t xml:space="preserve">wzrost o </w:t>
      </w:r>
      <w:r w:rsidR="002450C1" w:rsidRPr="00BD28B4">
        <w:rPr>
          <w:b/>
          <w:bCs/>
          <w:u w:val="single"/>
        </w:rPr>
        <w:t>5</w:t>
      </w:r>
      <w:r w:rsidRPr="00BD28B4">
        <w:rPr>
          <w:b/>
          <w:bCs/>
          <w:u w:val="single"/>
        </w:rPr>
        <w:t xml:space="preserve"> %</w:t>
      </w:r>
      <w:r w:rsidR="002450C1" w:rsidRPr="00BD28B4">
        <w:rPr>
          <w:b/>
          <w:bCs/>
          <w:u w:val="single"/>
        </w:rPr>
        <w:t xml:space="preserve"> (planowaną inflację)</w:t>
      </w:r>
      <w:r w:rsidR="002450C1">
        <w:t xml:space="preserve"> </w:t>
      </w:r>
      <w:r w:rsidRPr="007B2426">
        <w:t xml:space="preserve"> do poziomu stawek obowiązujących w 202</w:t>
      </w:r>
      <w:r w:rsidR="009E4DCA">
        <w:t>4</w:t>
      </w:r>
      <w:r>
        <w:t xml:space="preserve"> </w:t>
      </w:r>
      <w:r w:rsidRPr="007B2426">
        <w:t>r</w:t>
      </w:r>
      <w:r>
        <w:t>.)</w:t>
      </w:r>
      <w:r w:rsidR="00182857">
        <w:t>.</w:t>
      </w:r>
      <w:r w:rsidR="00394657">
        <w:t xml:space="preserve"> </w:t>
      </w:r>
      <w:r w:rsidRPr="007B2426">
        <w:t xml:space="preserve">Przy szacowaniu dochodów uwzględnić wskaźnik ściągalności na poziomie 90%; </w:t>
      </w:r>
    </w:p>
    <w:p w14:paraId="2C32BE62" w14:textId="23039A6B" w:rsidR="001505AD" w:rsidRPr="002A36BD" w:rsidRDefault="001505AD" w:rsidP="001505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33"/>
        </w:rPr>
      </w:pPr>
      <w:r w:rsidRPr="002A36BD">
        <w:rPr>
          <w:color w:val="000033"/>
        </w:rPr>
        <w:t xml:space="preserve">dochody z tytułu wydawania zezwoleń na sprzedaż alkoholu szacować na podstawie ilości zezwoleń  </w:t>
      </w:r>
      <w:r>
        <w:rPr>
          <w:color w:val="000033"/>
        </w:rPr>
        <w:t xml:space="preserve">na czas określony </w:t>
      </w:r>
      <w:r w:rsidRPr="002A36BD">
        <w:rPr>
          <w:color w:val="000033"/>
        </w:rPr>
        <w:t>oraz przewidywanej ilości zezwoleń na sprzedaż jednorazową</w:t>
      </w:r>
      <w:r w:rsidR="00322FF2">
        <w:rPr>
          <w:color w:val="000033"/>
        </w:rPr>
        <w:t>.</w:t>
      </w:r>
    </w:p>
    <w:p w14:paraId="738F5661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CF1BEE6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2. Kierownicy jednostek organizacyjnych, kierownicy referatów  Urzędu Gminy, zobowiązani są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podejmować działania zmierzające do optymalizacji dochodów bieżących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i maksymalizacji dochodów z gospodarowania majątkiem gminy.</w:t>
      </w:r>
    </w:p>
    <w:p w14:paraId="41355A8A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6DF49EF" w14:textId="77777777" w:rsidR="001505AD" w:rsidRPr="00174B55" w:rsidRDefault="001505AD" w:rsidP="001505A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74B55">
        <w:rPr>
          <w:rFonts w:eastAsia="Calibri"/>
          <w:lang w:eastAsia="en-US"/>
        </w:rPr>
        <w:t>§ 4.</w:t>
      </w:r>
    </w:p>
    <w:p w14:paraId="2F241B95" w14:textId="2B34DED1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1. Główne kierunki wydatkowania środków budżetowych w 202</w:t>
      </w:r>
      <w:r w:rsidR="00B424DA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roku i w latach następnych będą związane z realizacją celów określonych w „Strategii Rozwoju Gminy  Srokowo do </w:t>
      </w:r>
      <w:r w:rsidR="00D17747"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2025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>.</w:t>
      </w:r>
      <w:r w:rsidRPr="002A36BD">
        <w:rPr>
          <w:rFonts w:eastAsia="Calibri"/>
          <w:lang w:eastAsia="en-US"/>
        </w:rPr>
        <w:t>”. Zakłada się przy tym:</w:t>
      </w:r>
    </w:p>
    <w:p w14:paraId="17430117" w14:textId="77777777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1) zapewnienie dostępności do usług publicznych, w tym finansowanie zadań na poziomie gwarantującym zabezpieczenie co najmniej minimum potrzeb,</w:t>
      </w:r>
    </w:p>
    <w:p w14:paraId="008DA0A8" w14:textId="77777777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2) przeprowadzanie niezbędnych remontów i napraw zabezpieczających mienie komunalne,</w:t>
      </w:r>
    </w:p>
    <w:p w14:paraId="54590394" w14:textId="1EFF0943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3) realizację zadań wyłonionych w ramach  funduszy sołeckich,</w:t>
      </w:r>
    </w:p>
    <w:p w14:paraId="75EB2798" w14:textId="618C3296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4) realizację planów i działań prorozwojowych przy utrzymaniu wysokiej absorpcji środków unijnych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w ramach perspektywy finansowej 20</w:t>
      </w:r>
      <w:r w:rsidR="00B424DA">
        <w:rPr>
          <w:rFonts w:eastAsia="Calibri"/>
          <w:lang w:eastAsia="en-US"/>
        </w:rPr>
        <w:t>21</w:t>
      </w:r>
      <w:r w:rsidRPr="002A36BD">
        <w:rPr>
          <w:rFonts w:eastAsia="Calibri"/>
          <w:lang w:eastAsia="en-US"/>
        </w:rPr>
        <w:t>-202</w:t>
      </w:r>
      <w:r w:rsidR="00B424DA">
        <w:rPr>
          <w:rFonts w:eastAsia="Calibri"/>
          <w:lang w:eastAsia="en-US"/>
        </w:rPr>
        <w:t>7</w:t>
      </w:r>
      <w:r w:rsidRPr="002A36BD">
        <w:rPr>
          <w:rFonts w:eastAsia="Calibri"/>
          <w:lang w:eastAsia="en-US"/>
        </w:rPr>
        <w:t>,</w:t>
      </w:r>
    </w:p>
    <w:p w14:paraId="595AEDED" w14:textId="77777777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5) zarządzanie długiem Gminy  w sposób gwarantujący obciążenie budżetu kosztami jego obsługi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na poziomie dopuszczalnym, z zachowaniem wskaźników fiskalnych na poziomie bezpiecznym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i pozwalającym na zachowanie płynności finansowej Gminy.</w:t>
      </w:r>
    </w:p>
    <w:p w14:paraId="106672BE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54CAE1A" w14:textId="1E98A288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2. Planowane kwoty wydatków bieżących na 202</w:t>
      </w:r>
      <w:r w:rsidR="00D17747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rok i lata następne będą uwzględniały następujące założenia:</w:t>
      </w:r>
    </w:p>
    <w:p w14:paraId="29BFF570" w14:textId="60A00FB3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1) wydatki bieżące finansowane ze środków własnych budżetu Gminy, z wyjątkiem wydatków związanych z dochodami, będą planowane na podstawie przewidywanego wykonania w roku bazowym przy uwzględnieniu zmian przepisów prawa,  wyłączenia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 xml:space="preserve">z  wydatków jednorazowych oraz możliwości i ograniczeń finansowych wyznaczonych przez reguły fiskalne wynikające z ustawy o finansach publicznych, a określone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lastRenderedPageBreak/>
        <w:t>w wieloletniej prognozie finansowej (art. 242 ustawy – tzw. reguła wydatkowa nakazująca zrównoważenie budżetu bieżącego oraz art. 243 ustawy – nieprzekraczanie limitu obsługi zadłużenia),</w:t>
      </w:r>
    </w:p>
    <w:p w14:paraId="443782EF" w14:textId="77777777" w:rsidR="001505AD" w:rsidRPr="002A36BD" w:rsidRDefault="001505AD" w:rsidP="001505AD">
      <w:pPr>
        <w:pStyle w:val="NormalnyWeb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2) limity środków własnych budżetu  Gminy  na rezerwy obligatoryjne i fakultatywne zostaną określone przez Skarbnika Gminy  po zbilansowaniu planu dochodów i wydatków bieżących oraz planu dochodów i wydatków majątkowych.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Planuje się </w:t>
      </w:r>
      <w:r w:rsidRPr="002A36BD">
        <w:rPr>
          <w:color w:val="000033"/>
        </w:rPr>
        <w:t xml:space="preserve"> rezerwę ogólną na wydatki nieprzewidziane w wysokości do 1% wydatków budżetowych oraz rezerwy celowe, w tym m.in. na zarządzanie kryzysowe – w wysokości 0,5 % wydatków budżetu jednostki samorządu terytorialnego pomniejszonych o wydatki inwestycyjne, wydatki na wynagrodzenia i pochodne oraz wydatki na obsługę długu. </w:t>
      </w:r>
      <w:r w:rsidRPr="002A36BD">
        <w:t xml:space="preserve">  </w:t>
      </w:r>
      <w:r w:rsidRPr="002A36BD">
        <w:rPr>
          <w:color w:val="000033"/>
        </w:rPr>
        <w:t>Suma rezerw celowych nie może przekroczyć 5% planowanych wydatków budżetowych</w:t>
      </w:r>
      <w:r w:rsidRPr="002A36BD">
        <w:rPr>
          <w:rFonts w:eastAsia="Calibri"/>
          <w:lang w:eastAsia="en-US"/>
        </w:rPr>
        <w:t>,</w:t>
      </w:r>
    </w:p>
    <w:p w14:paraId="20A6DBF9" w14:textId="77777777" w:rsidR="001505AD" w:rsidRPr="002A36BD" w:rsidRDefault="001505AD" w:rsidP="001505AD">
      <w:pPr>
        <w:pStyle w:val="NormalnyWeb"/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3) wydatki finansowane z dochodów pochodzących ze źródeł zewnętrznych (np. z budżetu UE, budżetu państwa, funduszy celowych, innych jednostek samorządu terytorialnego) będą zaplanowane w wysokości wynikającej z zawiadomień dysponentów części budżetu państwa, zawartych umów/porozumień, bądź też w wysokości wynikającej z posiadanych dokumentów określających wielkość przyznanego finansowania lub dofinansowania,</w:t>
      </w:r>
    </w:p>
    <w:p w14:paraId="3C51AE6F" w14:textId="77777777" w:rsidR="001505AD" w:rsidRPr="002A36BD" w:rsidRDefault="001505AD" w:rsidP="001505AD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4) środki własne budżetu Gminy na wydatki związane z wypłatą  odpraw emerytalnych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i rentowych  ująć w rezerwie celowej.</w:t>
      </w:r>
    </w:p>
    <w:p w14:paraId="249D9D09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D9E2B66" w14:textId="4CC4AEE6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>3. Planowane kwoty wydatków majątkowych na 202</w:t>
      </w:r>
      <w:r w:rsidR="00D17747">
        <w:rPr>
          <w:rFonts w:eastAsia="Calibri"/>
          <w:lang w:eastAsia="en-US"/>
        </w:rPr>
        <w:t>5</w:t>
      </w:r>
      <w:r w:rsidRPr="002A36BD">
        <w:rPr>
          <w:rFonts w:eastAsia="Calibri"/>
          <w:lang w:eastAsia="en-US"/>
        </w:rPr>
        <w:t xml:space="preserve"> r</w:t>
      </w:r>
      <w:r>
        <w:rPr>
          <w:rFonts w:eastAsia="Calibri"/>
          <w:lang w:eastAsia="en-US"/>
        </w:rPr>
        <w:t>.</w:t>
      </w:r>
      <w:r w:rsidRPr="002A36BD">
        <w:rPr>
          <w:rFonts w:eastAsia="Calibri"/>
          <w:lang w:eastAsia="en-US"/>
        </w:rPr>
        <w:t xml:space="preserve"> i lata następne będą uwzględniały kontynuację przedsięwzięć ujętych w wieloletniej prognozie finansowej oraz wydatki na inwestycje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i zakupy inwestycyjne roczne w wysokości ustalonej na podstawie możliwości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 xml:space="preserve">i ograniczeń finansowych wyznaczonych przez reguły fiskalne wynikające z ustawy </w:t>
      </w:r>
      <w:r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o finansach publicznych,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>a określone w wieloletniej prognozie finansowej.</w:t>
      </w:r>
    </w:p>
    <w:p w14:paraId="47F3CCAF" w14:textId="77777777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F002D3D" w14:textId="02CB5278" w:rsidR="001505AD" w:rsidRPr="002A36BD" w:rsidRDefault="001505AD" w:rsidP="001505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6BD">
        <w:rPr>
          <w:rFonts w:eastAsia="Calibri"/>
          <w:lang w:eastAsia="en-US"/>
        </w:rPr>
        <w:t xml:space="preserve">4. Jednostki organizacyjne, w tym </w:t>
      </w:r>
      <w:r>
        <w:rPr>
          <w:rFonts w:eastAsia="Calibri"/>
          <w:lang w:eastAsia="en-US"/>
        </w:rPr>
        <w:t>referaty</w:t>
      </w:r>
      <w:r w:rsidRPr="002A36BD">
        <w:rPr>
          <w:rFonts w:eastAsia="Calibri"/>
          <w:lang w:eastAsia="en-US"/>
        </w:rPr>
        <w:t xml:space="preserve"> Urzędu Gminy, będą wydatkowały środki przeznaczone</w:t>
      </w:r>
      <w:r>
        <w:rPr>
          <w:rFonts w:eastAsia="Calibri"/>
          <w:lang w:eastAsia="en-US"/>
        </w:rPr>
        <w:t xml:space="preserve"> </w:t>
      </w:r>
      <w:r w:rsidRPr="002A36BD">
        <w:rPr>
          <w:rFonts w:eastAsia="Calibri"/>
          <w:lang w:eastAsia="en-US"/>
        </w:rPr>
        <w:t xml:space="preserve">na realizację zadań Gminy w sposób celowy, oszczędny i efektywny, podejmując jednocześnie działania zmierzające do racjonalizacji wydatków bieżących, w tym poprzez wdrażanie zmian organizacyjnych, w celu poprawy wyniku operacyjnego budżetu Gminy </w:t>
      </w:r>
      <w:r w:rsidR="004A1E92">
        <w:rPr>
          <w:rFonts w:eastAsia="Calibri"/>
          <w:lang w:eastAsia="en-US"/>
        </w:rPr>
        <w:br/>
      </w:r>
      <w:r w:rsidRPr="002A36BD">
        <w:rPr>
          <w:rFonts w:eastAsia="Calibri"/>
          <w:lang w:eastAsia="en-US"/>
        </w:rPr>
        <w:t>w perspektywie kilkuletniej.</w:t>
      </w:r>
    </w:p>
    <w:p w14:paraId="74D46AED" w14:textId="77777777" w:rsidR="001505AD" w:rsidRDefault="001505AD" w:rsidP="001505AD">
      <w:pPr>
        <w:pStyle w:val="NormalnyWeb"/>
        <w:jc w:val="center"/>
        <w:rPr>
          <w:color w:val="000033"/>
        </w:rPr>
      </w:pPr>
      <w:r w:rsidRPr="00174B55">
        <w:rPr>
          <w:color w:val="000033"/>
        </w:rPr>
        <w:t>§ 5.</w:t>
      </w:r>
    </w:p>
    <w:p w14:paraId="14170A59" w14:textId="51B2F724" w:rsidR="001505AD" w:rsidRPr="002A36BD" w:rsidRDefault="001505AD" w:rsidP="001505AD">
      <w:pPr>
        <w:pStyle w:val="NormalnyWeb"/>
        <w:jc w:val="both"/>
        <w:rPr>
          <w:color w:val="000033"/>
        </w:rPr>
      </w:pPr>
      <w:r w:rsidRPr="002A36BD">
        <w:rPr>
          <w:color w:val="000033"/>
        </w:rPr>
        <w:t>1. Przy opracowaniu wielkości budżetowych na 202</w:t>
      </w:r>
      <w:r w:rsidR="00D17747">
        <w:rPr>
          <w:color w:val="000033"/>
        </w:rPr>
        <w:t>5</w:t>
      </w:r>
      <w:r w:rsidRPr="002A36BD">
        <w:rPr>
          <w:color w:val="000033"/>
        </w:rPr>
        <w:t xml:space="preserve"> rok należy uwzględnić podstawowe wskaźniki makroekonomiczne oraz następujące wskaźniki:</w:t>
      </w:r>
    </w:p>
    <w:p w14:paraId="52F4C2BC" w14:textId="265AD03B" w:rsidR="001505AD" w:rsidRPr="002A36BD" w:rsidRDefault="001505AD" w:rsidP="001505AD">
      <w:pPr>
        <w:pStyle w:val="NormalnyWeb"/>
        <w:numPr>
          <w:ilvl w:val="0"/>
          <w:numId w:val="15"/>
        </w:numPr>
        <w:jc w:val="both"/>
        <w:rPr>
          <w:color w:val="000033"/>
        </w:rPr>
      </w:pPr>
      <w:r w:rsidRPr="002A36BD">
        <w:rPr>
          <w:color w:val="000033"/>
        </w:rPr>
        <w:t>średnioroczna inflacja w 202</w:t>
      </w:r>
      <w:r w:rsidR="00D17747">
        <w:rPr>
          <w:color w:val="000033"/>
        </w:rPr>
        <w:t>5</w:t>
      </w:r>
      <w:r>
        <w:rPr>
          <w:color w:val="000033"/>
        </w:rPr>
        <w:t xml:space="preserve"> </w:t>
      </w:r>
      <w:r w:rsidRPr="002A36BD">
        <w:rPr>
          <w:color w:val="000033"/>
        </w:rPr>
        <w:t>r</w:t>
      </w:r>
      <w:r>
        <w:rPr>
          <w:color w:val="000033"/>
        </w:rPr>
        <w:t>.</w:t>
      </w:r>
      <w:r w:rsidRPr="002A36BD">
        <w:rPr>
          <w:color w:val="000033"/>
        </w:rPr>
        <w:t xml:space="preserve"> przewidywalnie </w:t>
      </w:r>
      <w:r w:rsidRPr="002A36BD">
        <w:t xml:space="preserve">wyniesie  </w:t>
      </w:r>
      <w:r w:rsidR="002450C1">
        <w:t>5</w:t>
      </w:r>
      <w:r w:rsidRPr="002A36BD">
        <w:t xml:space="preserve"> %,</w:t>
      </w:r>
    </w:p>
    <w:p w14:paraId="12DF8E4D" w14:textId="31C03351" w:rsidR="001505AD" w:rsidRPr="002A36BD" w:rsidRDefault="001505AD" w:rsidP="001505AD">
      <w:pPr>
        <w:pStyle w:val="NormalnyWeb"/>
        <w:numPr>
          <w:ilvl w:val="0"/>
          <w:numId w:val="15"/>
        </w:numPr>
        <w:jc w:val="both"/>
      </w:pPr>
      <w:r w:rsidRPr="002A36BD">
        <w:t>wysokość minimalnego wynagrodzenia za pracę w 202</w:t>
      </w:r>
      <w:r w:rsidR="006D5668">
        <w:t>5</w:t>
      </w:r>
      <w:r>
        <w:t xml:space="preserve"> </w:t>
      </w:r>
      <w:r w:rsidRPr="002A36BD">
        <w:t xml:space="preserve">r. przewiduje się od </w:t>
      </w:r>
      <w:r>
        <w:br/>
      </w:r>
      <w:r w:rsidRPr="002A36BD">
        <w:t>1 stycznia 202</w:t>
      </w:r>
      <w:r w:rsidR="006D5668">
        <w:t>5</w:t>
      </w:r>
      <w:r>
        <w:t xml:space="preserve"> </w:t>
      </w:r>
      <w:r w:rsidRPr="002A36BD">
        <w:t>r</w:t>
      </w:r>
      <w:r>
        <w:t>.</w:t>
      </w:r>
      <w:r w:rsidR="006D5668">
        <w:t xml:space="preserve"> w kwocie</w:t>
      </w:r>
      <w:r w:rsidRPr="002A36BD">
        <w:t xml:space="preserve"> </w:t>
      </w:r>
      <w:r>
        <w:t>4.</w:t>
      </w:r>
      <w:r w:rsidR="006D5668">
        <w:t>626</w:t>
      </w:r>
      <w:r>
        <w:t xml:space="preserve">,- </w:t>
      </w:r>
      <w:r w:rsidRPr="002A36BD">
        <w:t xml:space="preserve">zł, </w:t>
      </w:r>
      <w:r w:rsidR="006D5668">
        <w:t xml:space="preserve">a </w:t>
      </w:r>
      <w:r w:rsidRPr="002A36BD">
        <w:t xml:space="preserve">stawka godzinowa </w:t>
      </w:r>
      <w:r w:rsidR="006D5668">
        <w:t>30,2</w:t>
      </w:r>
      <w:r>
        <w:t xml:space="preserve">0 </w:t>
      </w:r>
      <w:r w:rsidRPr="002A36BD">
        <w:t>zł</w:t>
      </w:r>
      <w:r w:rsidR="006D5668">
        <w:t>.</w:t>
      </w:r>
      <w:r w:rsidRPr="002A36BD">
        <w:t xml:space="preserve">  - zgodnie  </w:t>
      </w:r>
      <w:r w:rsidR="006D5668">
        <w:br/>
      </w:r>
      <w:r w:rsidRPr="002A36BD">
        <w:t>z założeniami rządu</w:t>
      </w:r>
      <w:r>
        <w:t xml:space="preserve"> </w:t>
      </w:r>
      <w:r w:rsidRPr="002A36BD">
        <w:t xml:space="preserve">w tym zakresie. </w:t>
      </w:r>
    </w:p>
    <w:p w14:paraId="2562D7F2" w14:textId="700ECF81" w:rsidR="001505AD" w:rsidRPr="002A36BD" w:rsidRDefault="001505AD" w:rsidP="001505AD">
      <w:pPr>
        <w:pStyle w:val="NormalnyWeb"/>
        <w:numPr>
          <w:ilvl w:val="0"/>
          <w:numId w:val="15"/>
        </w:numPr>
        <w:jc w:val="both"/>
        <w:rPr>
          <w:color w:val="000033"/>
        </w:rPr>
      </w:pPr>
      <w:r w:rsidRPr="002A36BD">
        <w:rPr>
          <w:color w:val="000033"/>
        </w:rPr>
        <w:t>wzrost</w:t>
      </w:r>
      <w:r>
        <w:rPr>
          <w:color w:val="000033"/>
        </w:rPr>
        <w:t xml:space="preserve"> przeciętnego wynagrodzenia planuje się</w:t>
      </w:r>
      <w:r w:rsidRPr="002A36BD">
        <w:rPr>
          <w:color w:val="000033"/>
        </w:rPr>
        <w:t xml:space="preserve"> w wysokości </w:t>
      </w:r>
      <w:r w:rsidR="002450C1">
        <w:rPr>
          <w:color w:val="000033"/>
        </w:rPr>
        <w:t>5</w:t>
      </w:r>
      <w:r w:rsidRPr="002A36BD">
        <w:rPr>
          <w:color w:val="C0504D"/>
        </w:rPr>
        <w:t xml:space="preserve"> </w:t>
      </w:r>
      <w:r w:rsidRPr="002A36BD">
        <w:rPr>
          <w:color w:val="000033"/>
        </w:rPr>
        <w:t xml:space="preserve">% </w:t>
      </w:r>
      <w:r>
        <w:rPr>
          <w:color w:val="000033"/>
        </w:rPr>
        <w:t xml:space="preserve">od dnia </w:t>
      </w:r>
      <w:r>
        <w:rPr>
          <w:color w:val="000033"/>
        </w:rPr>
        <w:br/>
        <w:t xml:space="preserve">1 </w:t>
      </w:r>
      <w:r w:rsidR="002450C1">
        <w:rPr>
          <w:color w:val="000033"/>
        </w:rPr>
        <w:t>stycznia</w:t>
      </w:r>
      <w:r>
        <w:rPr>
          <w:color w:val="000033"/>
        </w:rPr>
        <w:t xml:space="preserve"> 202</w:t>
      </w:r>
      <w:r w:rsidR="003C5CAB">
        <w:rPr>
          <w:color w:val="000033"/>
        </w:rPr>
        <w:t>5</w:t>
      </w:r>
      <w:r>
        <w:rPr>
          <w:color w:val="000033"/>
        </w:rPr>
        <w:t xml:space="preserve"> r. Środki na pokrycie skutków wzrostu wynagrodzeń </w:t>
      </w:r>
      <w:r w:rsidRPr="002A36BD">
        <w:rPr>
          <w:color w:val="000033"/>
        </w:rPr>
        <w:t>Wójt  Gminy ujmuje</w:t>
      </w:r>
      <w:r>
        <w:rPr>
          <w:color w:val="000033"/>
        </w:rPr>
        <w:t xml:space="preserve"> </w:t>
      </w:r>
      <w:r w:rsidRPr="002A36BD">
        <w:rPr>
          <w:color w:val="000033"/>
        </w:rPr>
        <w:t>w rezerwie celowej.</w:t>
      </w:r>
      <w:r w:rsidR="00A97CB8">
        <w:rPr>
          <w:color w:val="000033"/>
        </w:rPr>
        <w:t xml:space="preserve"> </w:t>
      </w:r>
      <w:r w:rsidRPr="002A36BD">
        <w:rPr>
          <w:color w:val="000033"/>
        </w:rPr>
        <w:t>Ostateczne decyzje</w:t>
      </w:r>
      <w:r w:rsidR="00A97CB8">
        <w:rPr>
          <w:color w:val="000033"/>
        </w:rPr>
        <w:t xml:space="preserve"> </w:t>
      </w:r>
      <w:r w:rsidRPr="002A36BD">
        <w:rPr>
          <w:color w:val="000033"/>
        </w:rPr>
        <w:t xml:space="preserve">w sprawie wzrostu </w:t>
      </w:r>
      <w:r w:rsidR="006E2C4B">
        <w:rPr>
          <w:color w:val="000033"/>
        </w:rPr>
        <w:t>wynagrodzeń</w:t>
      </w:r>
      <w:r w:rsidRPr="002A36BD">
        <w:rPr>
          <w:color w:val="000033"/>
        </w:rPr>
        <w:t xml:space="preserve"> ustalone zostaną</w:t>
      </w:r>
      <w:r>
        <w:rPr>
          <w:color w:val="000033"/>
        </w:rPr>
        <w:t xml:space="preserve"> </w:t>
      </w:r>
      <w:r w:rsidRPr="002A36BD">
        <w:rPr>
          <w:color w:val="000033"/>
        </w:rPr>
        <w:t>po ustaleniu</w:t>
      </w:r>
      <w:r>
        <w:rPr>
          <w:color w:val="000033"/>
        </w:rPr>
        <w:t xml:space="preserve"> </w:t>
      </w:r>
      <w:r w:rsidRPr="002A36BD">
        <w:rPr>
          <w:color w:val="000033"/>
        </w:rPr>
        <w:t>dochodów bieżących</w:t>
      </w:r>
      <w:r w:rsidR="00A97CB8">
        <w:rPr>
          <w:color w:val="000033"/>
        </w:rPr>
        <w:t xml:space="preserve"> </w:t>
      </w:r>
      <w:r w:rsidRPr="002A36BD">
        <w:rPr>
          <w:color w:val="000033"/>
        </w:rPr>
        <w:t xml:space="preserve">i wydatków bieżących  w celu zachowania równowagi. </w:t>
      </w:r>
    </w:p>
    <w:p w14:paraId="5C032CB0" w14:textId="60270D26" w:rsidR="001505AD" w:rsidRPr="002A36BD" w:rsidRDefault="001505AD" w:rsidP="001505AD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d</w:t>
      </w:r>
      <w:r w:rsidRPr="002A36BD">
        <w:t>otacje na zadania gminy realizowane przez organizacje pozarządowe ustalać – podobnie jak w latach ubiegłych - zgodnie z zasadami zawartymi w:</w:t>
      </w:r>
    </w:p>
    <w:p w14:paraId="00D64A9C" w14:textId="77777777" w:rsidR="001505AD" w:rsidRPr="002A36BD" w:rsidRDefault="001505AD" w:rsidP="001505AD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2A36BD">
        <w:lastRenderedPageBreak/>
        <w:t xml:space="preserve">ustawie o działalności pożytku publicznego i o wolontariacie  oraz  ustawie </w:t>
      </w:r>
      <w:r>
        <w:br/>
      </w:r>
      <w:r w:rsidRPr="002A36BD">
        <w:t xml:space="preserve">o zmianie ustawy o działalności pożytku publicznego i wolontariacie  oraz ustawie </w:t>
      </w:r>
      <w:r>
        <w:br/>
      </w:r>
      <w:r w:rsidRPr="002A36BD">
        <w:t>o sporcie</w:t>
      </w:r>
      <w:r>
        <w:t>,</w:t>
      </w:r>
    </w:p>
    <w:p w14:paraId="37F90103" w14:textId="7FFC9AA3" w:rsidR="001505AD" w:rsidRPr="002A36BD" w:rsidRDefault="001505AD" w:rsidP="001505AD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2A36BD">
        <w:t xml:space="preserve">w </w:t>
      </w:r>
      <w:r w:rsidR="008769EA">
        <w:t>w</w:t>
      </w:r>
      <w:r w:rsidRPr="002A36BD">
        <w:t>ieloletnim i rocznym Programie Współpracy Gminy Srokowo z organizacjami pozarządowymi oraz z podmiotami wymienionymi w ustawie o działalności pożytku publicznego.</w:t>
      </w:r>
      <w:r>
        <w:t xml:space="preserve"> </w:t>
      </w:r>
      <w:r w:rsidRPr="002A36BD">
        <w:t xml:space="preserve">Dotacje na ten cel nie mogą przekroczyć 0,5 % dochodów własnych. </w:t>
      </w:r>
    </w:p>
    <w:p w14:paraId="66A8AEB9" w14:textId="77777777" w:rsidR="001505AD" w:rsidRPr="002A36BD" w:rsidRDefault="001505AD" w:rsidP="001505AD">
      <w:pPr>
        <w:autoSpaceDE w:val="0"/>
        <w:autoSpaceDN w:val="0"/>
        <w:adjustRightInd w:val="0"/>
        <w:ind w:left="993" w:hanging="284"/>
        <w:jc w:val="both"/>
      </w:pPr>
    </w:p>
    <w:p w14:paraId="0E8DD3A6" w14:textId="4A4A610F" w:rsidR="001505AD" w:rsidRPr="003C5CAB" w:rsidRDefault="003C5CAB" w:rsidP="001505AD">
      <w:pPr>
        <w:autoSpaceDE w:val="0"/>
        <w:autoSpaceDN w:val="0"/>
        <w:adjustRightInd w:val="0"/>
        <w:jc w:val="both"/>
      </w:pPr>
      <w:r>
        <w:t>2</w:t>
      </w:r>
      <w:r w:rsidR="001505AD" w:rsidRPr="003C5CAB">
        <w:t xml:space="preserve">. Dofinansowania i finansowanie zadań nie będących zadaniami własnymi gminy jest  ograniczone wyłącznie do porozumień z jednostkami </w:t>
      </w:r>
      <w:r w:rsidR="008769EA">
        <w:t>samorządu terytorialnego</w:t>
      </w:r>
      <w:r w:rsidR="001505AD" w:rsidRPr="003C5CAB">
        <w:t>.</w:t>
      </w:r>
    </w:p>
    <w:p w14:paraId="71FD5274" w14:textId="77777777" w:rsidR="001505AD" w:rsidRPr="00174B55" w:rsidRDefault="001505AD" w:rsidP="00216C6B">
      <w:pPr>
        <w:pStyle w:val="NormalnyWeb"/>
        <w:tabs>
          <w:tab w:val="left" w:pos="0"/>
        </w:tabs>
        <w:jc w:val="center"/>
      </w:pPr>
      <w:r w:rsidRPr="00174B55">
        <w:t>§ 6.</w:t>
      </w:r>
    </w:p>
    <w:p w14:paraId="1E513377" w14:textId="4B70CB5E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</w:pPr>
      <w:r w:rsidRPr="002A36BD">
        <w:t>Ustalam:</w:t>
      </w:r>
    </w:p>
    <w:p w14:paraId="2C301182" w14:textId="4096947C" w:rsidR="001505AD" w:rsidRPr="002A36B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</w:pPr>
      <w:r>
        <w:t>w</w:t>
      </w:r>
      <w:r w:rsidRPr="002A36BD">
        <w:t>zrost stawek opłat najmu za lokale mieszkalne</w:t>
      </w:r>
      <w:r>
        <w:t xml:space="preserve"> </w:t>
      </w:r>
      <w:r w:rsidRPr="002A36BD">
        <w:t xml:space="preserve"> </w:t>
      </w:r>
      <w:r w:rsidRPr="00212D1F">
        <w:rPr>
          <w:b/>
          <w:bCs/>
          <w:u w:val="single"/>
        </w:rPr>
        <w:t xml:space="preserve">o </w:t>
      </w:r>
      <w:r w:rsidR="002450C1" w:rsidRPr="00212D1F">
        <w:rPr>
          <w:b/>
          <w:bCs/>
          <w:u w:val="single"/>
        </w:rPr>
        <w:t>5</w:t>
      </w:r>
      <w:r w:rsidR="006B0D17" w:rsidRPr="00212D1F">
        <w:rPr>
          <w:b/>
          <w:bCs/>
          <w:u w:val="single"/>
        </w:rPr>
        <w:t xml:space="preserve"> </w:t>
      </w:r>
      <w:r w:rsidRPr="00212D1F">
        <w:rPr>
          <w:b/>
          <w:bCs/>
          <w:u w:val="single"/>
        </w:rPr>
        <w:t xml:space="preserve">% </w:t>
      </w:r>
      <w:r w:rsidR="00212D1F" w:rsidRPr="00212D1F">
        <w:rPr>
          <w:b/>
          <w:bCs/>
          <w:u w:val="single"/>
        </w:rPr>
        <w:t>(planowaną inflację)</w:t>
      </w:r>
      <w:r w:rsidR="00212D1F">
        <w:t xml:space="preserve"> </w:t>
      </w:r>
      <w:r w:rsidR="00212D1F">
        <w:br/>
      </w:r>
      <w:r w:rsidRPr="002A36BD">
        <w:t>w stosunku do ustalonych stawek na rok 202</w:t>
      </w:r>
      <w:r w:rsidR="00CE1801">
        <w:t>4</w:t>
      </w:r>
      <w:r w:rsidRPr="002A36BD">
        <w:t>, za lokale gospodarcze (</w:t>
      </w:r>
      <w:r w:rsidR="00CF2962">
        <w:t>tzw.</w:t>
      </w:r>
      <w:r w:rsidRPr="002A36BD">
        <w:t xml:space="preserve"> chlewiki) o </w:t>
      </w:r>
      <w:r w:rsidR="002450C1">
        <w:t>3</w:t>
      </w:r>
      <w:r w:rsidRPr="002A36BD">
        <w:t xml:space="preserve"> % w stosunku do 202</w:t>
      </w:r>
      <w:r w:rsidR="00CE1801">
        <w:t>4</w:t>
      </w:r>
      <w:r>
        <w:t xml:space="preserve"> </w:t>
      </w:r>
      <w:r w:rsidRPr="002A36BD">
        <w:t>r</w:t>
      </w:r>
      <w:r>
        <w:t>.;</w:t>
      </w:r>
    </w:p>
    <w:p w14:paraId="4B1C6152" w14:textId="1E9A4241" w:rsidR="001505AD" w:rsidRPr="002A36B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</w:pPr>
      <w:r>
        <w:t>w</w:t>
      </w:r>
      <w:r w:rsidRPr="002A36BD">
        <w:t xml:space="preserve">zrost stawek czynszu za dzierżawę gruntów komunalnych o </w:t>
      </w:r>
      <w:r w:rsidR="002450C1">
        <w:t>5</w:t>
      </w:r>
      <w:r w:rsidRPr="002A36BD">
        <w:t xml:space="preserve"> % w stosunku do ustalonych stawek na rok 202</w:t>
      </w:r>
      <w:r w:rsidR="00CE1801">
        <w:t>4</w:t>
      </w:r>
      <w:r>
        <w:t>;</w:t>
      </w:r>
    </w:p>
    <w:p w14:paraId="1ACE705E" w14:textId="34252D52" w:rsidR="001505AD" w:rsidRPr="002A36B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</w:pPr>
      <w:r>
        <w:t>w</w:t>
      </w:r>
      <w:r w:rsidRPr="002A36BD">
        <w:t xml:space="preserve">zrost stawek opłat z tytułu dzierżawy lokali użytkowych o </w:t>
      </w:r>
      <w:r w:rsidR="002450C1">
        <w:t>5</w:t>
      </w:r>
      <w:r w:rsidRPr="002A36BD">
        <w:t xml:space="preserve"> % w stosunku do ustalonych stawek na rok 202</w:t>
      </w:r>
      <w:r w:rsidR="00CE1801">
        <w:t>4</w:t>
      </w:r>
      <w:r>
        <w:t xml:space="preserve"> </w:t>
      </w:r>
      <w:r w:rsidRPr="002A36BD">
        <w:t>r.</w:t>
      </w:r>
      <w:r>
        <w:t>;</w:t>
      </w:r>
    </w:p>
    <w:p w14:paraId="7CB97700" w14:textId="77777777" w:rsidR="001505AD" w:rsidRPr="002A36B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</w:pPr>
      <w:r>
        <w:t>p</w:t>
      </w:r>
      <w:r w:rsidRPr="002A36BD">
        <w:t>rzyjęcie średniej ceny skupu żyta służącej do ustalenia podatku rolnego oraz średniej ceny sprzedaży drewna służącej do ustalenia podatku leśnego w wysokości ogłoszonej przez Prezesa Głównego Urzędu Statystycznego</w:t>
      </w:r>
      <w:r>
        <w:t>;</w:t>
      </w:r>
    </w:p>
    <w:p w14:paraId="72172552" w14:textId="77777777" w:rsidR="001505A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</w:pPr>
      <w:r>
        <w:t>p</w:t>
      </w:r>
      <w:r w:rsidRPr="002A36BD">
        <w:t>rognozuję wysokość opłaty prolongacyjnej w wysokości 50% stawki odsetek podatkowych.</w:t>
      </w:r>
      <w:r>
        <w:t>,</w:t>
      </w:r>
    </w:p>
    <w:p w14:paraId="7CFFB166" w14:textId="070929A4" w:rsidR="001505AD" w:rsidRPr="002A36BD" w:rsidRDefault="001505AD" w:rsidP="00216C6B">
      <w:pPr>
        <w:numPr>
          <w:ilvl w:val="0"/>
          <w:numId w:val="23"/>
        </w:numPr>
        <w:tabs>
          <w:tab w:val="left" w:pos="0"/>
        </w:tabs>
        <w:ind w:left="1134" w:hanging="425"/>
        <w:jc w:val="both"/>
        <w:rPr>
          <w:color w:val="000033"/>
        </w:rPr>
      </w:pPr>
      <w:r w:rsidRPr="002A36BD">
        <w:rPr>
          <w:color w:val="000033"/>
        </w:rPr>
        <w:t>wynagrodzenia osobowe kalkulować w</w:t>
      </w:r>
      <w:r w:rsidR="00CF2962">
        <w:rPr>
          <w:color w:val="000033"/>
        </w:rPr>
        <w:t>edług</w:t>
      </w:r>
      <w:r w:rsidRPr="002A36BD">
        <w:rPr>
          <w:color w:val="000033"/>
        </w:rPr>
        <w:t xml:space="preserve"> kwot wynikających ze stosunku pracy na dzień 30.09.202</w:t>
      </w:r>
      <w:r w:rsidR="00CE1801">
        <w:rPr>
          <w:color w:val="000033"/>
        </w:rPr>
        <w:t>4</w:t>
      </w:r>
      <w:r>
        <w:rPr>
          <w:color w:val="000033"/>
        </w:rPr>
        <w:t xml:space="preserve"> </w:t>
      </w:r>
      <w:r w:rsidRPr="002A36BD">
        <w:rPr>
          <w:color w:val="000033"/>
        </w:rPr>
        <w:t>r</w:t>
      </w:r>
      <w:r>
        <w:rPr>
          <w:color w:val="000033"/>
        </w:rPr>
        <w:t>.</w:t>
      </w:r>
      <w:r w:rsidRPr="002A36BD">
        <w:rPr>
          <w:color w:val="000033"/>
        </w:rPr>
        <w:t>, biorąc pod uwagę skutki finansowe planowanych zmian organizacyjnych i prawnych do końca 202</w:t>
      </w:r>
      <w:r w:rsidR="00CE1801">
        <w:rPr>
          <w:color w:val="000033"/>
        </w:rPr>
        <w:t>4</w:t>
      </w:r>
      <w:r w:rsidRPr="002A36BD">
        <w:rPr>
          <w:color w:val="000033"/>
        </w:rPr>
        <w:t xml:space="preserve"> r. oraz w roku 202</w:t>
      </w:r>
      <w:r w:rsidR="00CE1801">
        <w:rPr>
          <w:color w:val="000033"/>
        </w:rPr>
        <w:t>5</w:t>
      </w:r>
      <w:r>
        <w:rPr>
          <w:color w:val="000033"/>
        </w:rPr>
        <w:t>.</w:t>
      </w:r>
    </w:p>
    <w:p w14:paraId="78458492" w14:textId="521EEB6A" w:rsidR="001505A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bCs/>
          <w:color w:val="000033"/>
        </w:rPr>
      </w:pPr>
      <w:r w:rsidRPr="00216C6B">
        <w:rPr>
          <w:bCs/>
          <w:color w:val="000033"/>
        </w:rPr>
        <w:t xml:space="preserve">Nie planuje się wzrostu zatrudnienia poza stan etatowy planowany na dzień </w:t>
      </w:r>
      <w:r w:rsidRPr="00216C6B">
        <w:rPr>
          <w:bCs/>
          <w:color w:val="000033"/>
        </w:rPr>
        <w:br/>
        <w:t>30 września 202</w:t>
      </w:r>
      <w:r w:rsidR="00CE1801" w:rsidRPr="00216C6B">
        <w:rPr>
          <w:bCs/>
          <w:color w:val="000033"/>
        </w:rPr>
        <w:t>4</w:t>
      </w:r>
      <w:r w:rsidRPr="00216C6B">
        <w:rPr>
          <w:bCs/>
          <w:color w:val="000033"/>
        </w:rPr>
        <w:t xml:space="preserve"> r. Wszystkie zmiany  zwiększające zatrudnienie, muszą być  bezwzględnie akceptowane na piśmie przez Wójta Gminy i dołączone do przedkładanego planu finansowego w innym przypadku nie będą planowane w budżecie gminy. </w:t>
      </w:r>
    </w:p>
    <w:p w14:paraId="1DFBD23F" w14:textId="3D987375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t>O</w:t>
      </w:r>
      <w:r w:rsidRPr="002A36BD">
        <w:rPr>
          <w:color w:val="000033"/>
        </w:rPr>
        <w:t>dprawy emerytalne</w:t>
      </w:r>
      <w:r>
        <w:rPr>
          <w:color w:val="000033"/>
        </w:rPr>
        <w:t xml:space="preserve"> oraz środki na podwyżki wynagrodzeń</w:t>
      </w:r>
      <w:r w:rsidRPr="002A36BD">
        <w:rPr>
          <w:color w:val="000033"/>
        </w:rPr>
        <w:t xml:space="preserve">  planowane są</w:t>
      </w:r>
      <w:r>
        <w:rPr>
          <w:color w:val="000033"/>
        </w:rPr>
        <w:t xml:space="preserve"> </w:t>
      </w:r>
      <w:r w:rsidRPr="002A36BD">
        <w:rPr>
          <w:color w:val="000033"/>
        </w:rPr>
        <w:t>w</w:t>
      </w:r>
      <w:r>
        <w:rPr>
          <w:color w:val="000033"/>
        </w:rPr>
        <w:t xml:space="preserve"> </w:t>
      </w:r>
      <w:r w:rsidRPr="002A36BD">
        <w:rPr>
          <w:color w:val="000033"/>
        </w:rPr>
        <w:t xml:space="preserve">rezerwie celowej. </w:t>
      </w:r>
    </w:p>
    <w:p w14:paraId="60BD8271" w14:textId="48521198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t>W</w:t>
      </w:r>
      <w:r w:rsidRPr="002A36BD">
        <w:rPr>
          <w:color w:val="000033"/>
        </w:rPr>
        <w:t xml:space="preserve">e wszystkich jednostkach </w:t>
      </w:r>
      <w:r>
        <w:rPr>
          <w:color w:val="000033"/>
        </w:rPr>
        <w:t xml:space="preserve">fundusz na </w:t>
      </w:r>
      <w:r w:rsidRPr="002A36BD">
        <w:rPr>
          <w:color w:val="000033"/>
        </w:rPr>
        <w:t>nagrody</w:t>
      </w:r>
      <w:r>
        <w:rPr>
          <w:color w:val="000033"/>
        </w:rPr>
        <w:t xml:space="preserve"> uznaniowe</w:t>
      </w:r>
      <w:r w:rsidRPr="002A36BD">
        <w:rPr>
          <w:color w:val="000033"/>
        </w:rPr>
        <w:t xml:space="preserve"> planowan</w:t>
      </w:r>
      <w:r>
        <w:rPr>
          <w:color w:val="000033"/>
        </w:rPr>
        <w:t>y</w:t>
      </w:r>
      <w:r w:rsidRPr="002A36BD">
        <w:rPr>
          <w:color w:val="000033"/>
        </w:rPr>
        <w:t xml:space="preserve"> </w:t>
      </w:r>
      <w:r>
        <w:rPr>
          <w:color w:val="000033"/>
        </w:rPr>
        <w:t>jest</w:t>
      </w:r>
      <w:r w:rsidRPr="002A36BD">
        <w:rPr>
          <w:color w:val="000033"/>
        </w:rPr>
        <w:t xml:space="preserve"> </w:t>
      </w:r>
      <w:r w:rsidR="00216C6B">
        <w:rPr>
          <w:color w:val="000033"/>
        </w:rPr>
        <w:br/>
      </w:r>
      <w:r w:rsidRPr="002A36BD">
        <w:rPr>
          <w:color w:val="000033"/>
        </w:rPr>
        <w:t xml:space="preserve">w wysokości zgodnej z uchwalonymi regulaminami wynagradzania jednostki tj. </w:t>
      </w:r>
      <w:r w:rsidR="00216C6B">
        <w:rPr>
          <w:color w:val="000033"/>
        </w:rPr>
        <w:br/>
      </w:r>
      <w:r w:rsidRPr="002A36BD">
        <w:rPr>
          <w:color w:val="000033"/>
        </w:rPr>
        <w:t xml:space="preserve">w wysokości nie wyższej niż  </w:t>
      </w:r>
      <w:r w:rsidRPr="00F05375">
        <w:rPr>
          <w:bCs/>
          <w:color w:val="000033"/>
        </w:rPr>
        <w:t>3%</w:t>
      </w:r>
      <w:r w:rsidRPr="002A36BD">
        <w:rPr>
          <w:color w:val="000033"/>
        </w:rPr>
        <w:t>.</w:t>
      </w:r>
    </w:p>
    <w:p w14:paraId="614214CC" w14:textId="0F79DEB2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</w:pPr>
      <w:r>
        <w:rPr>
          <w:color w:val="000033"/>
        </w:rPr>
        <w:t xml:space="preserve">Fundusz </w:t>
      </w:r>
      <w:r w:rsidRPr="002A36BD">
        <w:rPr>
          <w:color w:val="000033"/>
        </w:rPr>
        <w:t>nagród dla nauczycieli planowan</w:t>
      </w:r>
      <w:r>
        <w:rPr>
          <w:color w:val="000033"/>
        </w:rPr>
        <w:t>y</w:t>
      </w:r>
      <w:r w:rsidRPr="002A36BD">
        <w:rPr>
          <w:color w:val="000033"/>
        </w:rPr>
        <w:t xml:space="preserve"> jest w wysokości </w:t>
      </w:r>
      <w:r w:rsidRPr="00F05375">
        <w:rPr>
          <w:color w:val="000033"/>
        </w:rPr>
        <w:t>1%</w:t>
      </w:r>
      <w:r w:rsidRPr="002A36BD">
        <w:rPr>
          <w:color w:val="000033"/>
        </w:rPr>
        <w:t xml:space="preserve"> </w:t>
      </w:r>
      <w:r>
        <w:rPr>
          <w:color w:val="000033"/>
        </w:rPr>
        <w:t xml:space="preserve"> planowanych rocznych wynagrodzeń osobowych nauczycieli, </w:t>
      </w:r>
      <w:r w:rsidRPr="002A36BD">
        <w:rPr>
          <w:color w:val="000033"/>
        </w:rPr>
        <w:t xml:space="preserve">w proporcjach – 0,8% do </w:t>
      </w:r>
      <w:r w:rsidRPr="002A36BD">
        <w:t>dyspozycji dyrektora jednostki oraz 0,2% do dyspozycji Wójta Gminy</w:t>
      </w:r>
      <w:r>
        <w:t xml:space="preserve"> </w:t>
      </w:r>
      <w:r w:rsidRPr="002A36BD">
        <w:t xml:space="preserve">- planowana całość środków  </w:t>
      </w:r>
      <w:r>
        <w:t xml:space="preserve">ujęta </w:t>
      </w:r>
      <w:r w:rsidRPr="002A36BD">
        <w:t xml:space="preserve">w </w:t>
      </w:r>
      <w:r>
        <w:t xml:space="preserve">budżecie </w:t>
      </w:r>
      <w:r w:rsidRPr="002A36BD">
        <w:t xml:space="preserve">Szkole Podstawowej. </w:t>
      </w:r>
    </w:p>
    <w:p w14:paraId="3F24B797" w14:textId="51610A69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</w:pPr>
      <w:r>
        <w:t xml:space="preserve">W </w:t>
      </w:r>
      <w:r w:rsidRPr="002A36BD">
        <w:t>jednostce oświatowej wysokość środków na wynagrodzenia nauczycieli należy projektować w oparciu o ustawę z dnia 26.01.1982 roku Karta Nauczyciela  oraz rozporządzeniami wykonawczymi przyjmując dla okresu styczeń-sierpień 202</w:t>
      </w:r>
      <w:r w:rsidR="006D5668">
        <w:t>5</w:t>
      </w:r>
      <w:r w:rsidRPr="002A36BD">
        <w:t xml:space="preserve"> roku organizację wynikającą z zatwierdzonych arkuszy organizacyjnych, a dla okresu wrzesień-grudzień 202</w:t>
      </w:r>
      <w:r w:rsidR="006D5668">
        <w:t>5</w:t>
      </w:r>
      <w:r w:rsidRPr="002A36BD">
        <w:t xml:space="preserve"> roku przewidywaną przez Dyrektora organizację jednostki </w:t>
      </w:r>
      <w:r w:rsidR="00216C6B">
        <w:br/>
      </w:r>
      <w:r w:rsidRPr="002A36BD">
        <w:t>w roku szkolnym 202</w:t>
      </w:r>
      <w:r w:rsidR="006D5668">
        <w:t>4</w:t>
      </w:r>
      <w:r w:rsidRPr="002A36BD">
        <w:t>/202</w:t>
      </w:r>
      <w:r w:rsidR="006D5668">
        <w:t>5</w:t>
      </w:r>
      <w:r w:rsidRPr="002A36BD">
        <w:t>.</w:t>
      </w:r>
    </w:p>
    <w:p w14:paraId="7EA401C1" w14:textId="49FC3D45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lastRenderedPageBreak/>
        <w:t>F</w:t>
      </w:r>
      <w:r w:rsidRPr="002A36BD">
        <w:rPr>
          <w:color w:val="000033"/>
        </w:rPr>
        <w:t>undusz zdrowotny  nauczycieli planować w kwocie  ustalonej w rozporządzeniu  jako odpis  0,</w:t>
      </w:r>
      <w:r>
        <w:rPr>
          <w:color w:val="000033"/>
        </w:rPr>
        <w:t xml:space="preserve">1 </w:t>
      </w:r>
      <w:r w:rsidRPr="002A36BD">
        <w:rPr>
          <w:color w:val="000033"/>
        </w:rPr>
        <w:t>%  rocznego funduszu płac nauczycieli.</w:t>
      </w:r>
    </w:p>
    <w:p w14:paraId="74E44A83" w14:textId="6CC7503D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t>Ś</w:t>
      </w:r>
      <w:r w:rsidRPr="002A36BD">
        <w:t>rodki na dofinansowanie doskonalenia</w:t>
      </w:r>
      <w:r>
        <w:t xml:space="preserve"> </w:t>
      </w:r>
      <w:r w:rsidRPr="002A36BD">
        <w:t>zawodowego nauczycieli z uwzględnieniem doradztwa metodycznego określa się na poziomie 0,8 % planowanych  rocznych środków  przeznaczonych na wynagrodzenia osobowe nauczycieli ( bez</w:t>
      </w:r>
      <w:r w:rsidRPr="002A36BD">
        <w:rPr>
          <w:color w:val="000033"/>
        </w:rPr>
        <w:t xml:space="preserve"> jednorazowych wypłat).</w:t>
      </w:r>
    </w:p>
    <w:p w14:paraId="750B781A" w14:textId="355E1BA3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t>F</w:t>
      </w:r>
      <w:r w:rsidRPr="002A36BD">
        <w:rPr>
          <w:color w:val="000033"/>
        </w:rPr>
        <w:t xml:space="preserve">undusz motywacyjny </w:t>
      </w:r>
      <w:r>
        <w:rPr>
          <w:color w:val="000033"/>
        </w:rPr>
        <w:t>dla nauczycieli</w:t>
      </w:r>
      <w:r w:rsidRPr="002A36BD">
        <w:rPr>
          <w:color w:val="000033"/>
        </w:rPr>
        <w:t xml:space="preserve"> planować w wysokości  określonej w Uchwale Rady Gminy</w:t>
      </w:r>
      <w:r>
        <w:rPr>
          <w:color w:val="000033"/>
        </w:rPr>
        <w:t xml:space="preserve"> Srokowo Nr XXXVIII/204/2021 z dnia 29.10.2021 r. z późniejszymi zmianami,</w:t>
      </w:r>
    </w:p>
    <w:p w14:paraId="540B68AB" w14:textId="47F6B8B6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t>W</w:t>
      </w:r>
      <w:r w:rsidRPr="002A36BD">
        <w:rPr>
          <w:color w:val="000033"/>
        </w:rPr>
        <w:t xml:space="preserve">ydatki na wynagrodzenia bezosobowe kalkulować wg zawartych i planowanych umów, ze wskazaniem przewidywanych kwot oraz  celu zawarcia każdej z nich. </w:t>
      </w:r>
    </w:p>
    <w:p w14:paraId="54BB3F43" w14:textId="76571035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C0504D"/>
        </w:rPr>
      </w:pPr>
      <w:r>
        <w:rPr>
          <w:color w:val="000033"/>
        </w:rPr>
        <w:t>W</w:t>
      </w:r>
      <w:r w:rsidRPr="002A36BD">
        <w:rPr>
          <w:color w:val="000033"/>
        </w:rPr>
        <w:t xml:space="preserve">ydatki z tytułu dodatkowych wynagrodzeń rocznych planuje się w wysokości 8,5% sumy wynagrodzenia, o którym mowa w art. 4 </w:t>
      </w:r>
      <w:r w:rsidRPr="002A36BD">
        <w:t xml:space="preserve">ustawy z dnia 12 grudnia 1997 r. </w:t>
      </w:r>
      <w:r>
        <w:br/>
      </w:r>
      <w:r w:rsidRPr="002A36BD">
        <w:t xml:space="preserve">o dodatkowym wynagrodzeniu rocznym dla pracowników jednostek sfery budżetowej. </w:t>
      </w:r>
    </w:p>
    <w:p w14:paraId="2E76D0B2" w14:textId="6A47A667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</w:pPr>
      <w:r>
        <w:rPr>
          <w:color w:val="000033"/>
        </w:rPr>
        <w:t>S</w:t>
      </w:r>
      <w:r w:rsidRPr="002A36BD">
        <w:rPr>
          <w:color w:val="000033"/>
        </w:rPr>
        <w:t xml:space="preserve">kładki na ubezpieczenia społeczne </w:t>
      </w:r>
      <w:r w:rsidR="00CF2962">
        <w:rPr>
          <w:color w:val="000033"/>
        </w:rPr>
        <w:t xml:space="preserve">i fundusz pracy </w:t>
      </w:r>
      <w:r w:rsidRPr="002A36BD">
        <w:rPr>
          <w:color w:val="000033"/>
        </w:rPr>
        <w:t xml:space="preserve">planuje się w wysokości określonej </w:t>
      </w:r>
      <w:r w:rsidR="00CF2962">
        <w:rPr>
          <w:color w:val="000033"/>
        </w:rPr>
        <w:br/>
      </w:r>
      <w:r w:rsidRPr="002A36BD">
        <w:rPr>
          <w:color w:val="000033"/>
        </w:rPr>
        <w:t xml:space="preserve">w ustawie  o systemie ubezpieczeń </w:t>
      </w:r>
      <w:r w:rsidRPr="002A36BD">
        <w:t xml:space="preserve">społecznych  a składki na Fundusz Emerytur Pomostowych kierowców  dowożących dzieci do szkół w wysokości 1,5 %  określonej w ustawie o emeryturach pomostowych .   </w:t>
      </w:r>
    </w:p>
    <w:p w14:paraId="38646E1B" w14:textId="450481B0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color w:val="000033"/>
        </w:rPr>
      </w:pPr>
      <w:r>
        <w:rPr>
          <w:color w:val="000033"/>
        </w:rPr>
        <w:t>O</w:t>
      </w:r>
      <w:r w:rsidRPr="002A36BD">
        <w:rPr>
          <w:color w:val="000033"/>
        </w:rPr>
        <w:t>dpis na zakładowy fundusz świadczeń socjalnych planować zgodnie z art. 5</w:t>
      </w:r>
      <w:r>
        <w:rPr>
          <w:color w:val="000033"/>
        </w:rPr>
        <w:t xml:space="preserve"> ust. </w:t>
      </w:r>
      <w:r w:rsidR="00A40ACB">
        <w:rPr>
          <w:color w:val="000033"/>
        </w:rPr>
        <w:br/>
      </w:r>
      <w:r>
        <w:rPr>
          <w:color w:val="000033"/>
        </w:rPr>
        <w:t>2</w:t>
      </w:r>
      <w:r w:rsidRPr="002A36BD">
        <w:rPr>
          <w:color w:val="000033"/>
        </w:rPr>
        <w:t xml:space="preserve"> ustawy </w:t>
      </w:r>
      <w:r w:rsidRPr="002A36BD">
        <w:t>z dnia 4 marca 1994 r. o zakładowym funduszu świadczeń socjalnych (tj. Dz. U. z 202</w:t>
      </w:r>
      <w:r w:rsidR="00A01208">
        <w:t xml:space="preserve">4 </w:t>
      </w:r>
      <w:r w:rsidRPr="002A36BD">
        <w:t xml:space="preserve">r. poz. </w:t>
      </w:r>
      <w:r w:rsidR="00A01208">
        <w:t>288</w:t>
      </w:r>
      <w:r w:rsidRPr="002A36BD">
        <w:t>)</w:t>
      </w:r>
      <w:r w:rsidR="000A7A5F">
        <w:t>.</w:t>
      </w:r>
      <w:r w:rsidRPr="002A36BD">
        <w:t xml:space="preserve"> </w:t>
      </w:r>
    </w:p>
    <w:p w14:paraId="7FE0D93F" w14:textId="00CE1953" w:rsidR="001505AD" w:rsidRDefault="00934836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  <w:rPr>
          <w:bCs/>
          <w:color w:val="000033"/>
        </w:rPr>
      </w:pPr>
      <w:r>
        <w:rPr>
          <w:bCs/>
          <w:color w:val="000033"/>
        </w:rPr>
        <w:t>Na</w:t>
      </w:r>
      <w:r w:rsidR="001505AD" w:rsidRPr="00224ADB">
        <w:rPr>
          <w:bCs/>
          <w:color w:val="000033"/>
        </w:rPr>
        <w:t xml:space="preserve"> 202</w:t>
      </w:r>
      <w:r>
        <w:rPr>
          <w:bCs/>
          <w:color w:val="000033"/>
        </w:rPr>
        <w:t>5</w:t>
      </w:r>
      <w:r w:rsidR="001505AD" w:rsidRPr="00224ADB">
        <w:rPr>
          <w:bCs/>
          <w:color w:val="000033"/>
        </w:rPr>
        <w:t xml:space="preserve"> r</w:t>
      </w:r>
      <w:r w:rsidR="001505AD">
        <w:rPr>
          <w:bCs/>
          <w:color w:val="000033"/>
        </w:rPr>
        <w:t>.</w:t>
      </w:r>
      <w:r w:rsidR="001505AD" w:rsidRPr="00224ADB">
        <w:rPr>
          <w:bCs/>
          <w:color w:val="000033"/>
        </w:rPr>
        <w:t xml:space="preserve"> do ustalania odpisu na zakładowy fundusz świadczeń socjalnych dla  nauczycieli</w:t>
      </w:r>
      <w:r w:rsidR="006E2C4B">
        <w:rPr>
          <w:bCs/>
          <w:color w:val="000033"/>
        </w:rPr>
        <w:t>,</w:t>
      </w:r>
      <w:r w:rsidR="001505AD" w:rsidRPr="00224ADB">
        <w:rPr>
          <w:bCs/>
          <w:color w:val="000033"/>
        </w:rPr>
        <w:t xml:space="preserve"> o którym mowa w  art. 53 ust. 1 ustawy z dnia 26 stycznia 1982 r. Karta Nauczyciela, stos</w:t>
      </w:r>
      <w:r w:rsidR="001505AD">
        <w:rPr>
          <w:bCs/>
          <w:color w:val="000033"/>
        </w:rPr>
        <w:t>ować</w:t>
      </w:r>
      <w:r w:rsidR="001505AD" w:rsidRPr="00224ADB">
        <w:rPr>
          <w:bCs/>
          <w:color w:val="000033"/>
        </w:rPr>
        <w:t xml:space="preserve"> kwotę bazową </w:t>
      </w:r>
      <w:r w:rsidR="001505AD">
        <w:rPr>
          <w:bCs/>
          <w:color w:val="000033"/>
        </w:rPr>
        <w:t xml:space="preserve">w wysokości </w:t>
      </w:r>
      <w:r w:rsidR="002450C1">
        <w:rPr>
          <w:bCs/>
          <w:color w:val="000033"/>
        </w:rPr>
        <w:t xml:space="preserve">5 434,82 </w:t>
      </w:r>
      <w:r w:rsidR="001505AD">
        <w:rPr>
          <w:bCs/>
          <w:color w:val="000033"/>
        </w:rPr>
        <w:t>zł (kwotę ujętą w projekcie</w:t>
      </w:r>
      <w:r w:rsidR="006E2C4B">
        <w:rPr>
          <w:bCs/>
          <w:color w:val="000033"/>
        </w:rPr>
        <w:t xml:space="preserve"> </w:t>
      </w:r>
      <w:r w:rsidR="001505AD">
        <w:rPr>
          <w:bCs/>
          <w:color w:val="000033"/>
        </w:rPr>
        <w:t>ustawy budżetowej na 202</w:t>
      </w:r>
      <w:r>
        <w:rPr>
          <w:bCs/>
          <w:color w:val="000033"/>
        </w:rPr>
        <w:t>5</w:t>
      </w:r>
      <w:r w:rsidR="001505AD">
        <w:rPr>
          <w:bCs/>
          <w:color w:val="000033"/>
        </w:rPr>
        <w:t xml:space="preserve"> r.)</w:t>
      </w:r>
      <w:r w:rsidR="00216C6B">
        <w:rPr>
          <w:bCs/>
          <w:color w:val="000033"/>
        </w:rPr>
        <w:t>.</w:t>
      </w:r>
    </w:p>
    <w:p w14:paraId="6FFB451D" w14:textId="08708816" w:rsidR="001505AD" w:rsidRPr="002A36BD" w:rsidRDefault="001505AD" w:rsidP="00216C6B">
      <w:pPr>
        <w:pStyle w:val="NormalnyWeb"/>
        <w:numPr>
          <w:ilvl w:val="0"/>
          <w:numId w:val="22"/>
        </w:numPr>
        <w:tabs>
          <w:tab w:val="left" w:pos="0"/>
        </w:tabs>
        <w:jc w:val="both"/>
      </w:pPr>
      <w:r>
        <w:rPr>
          <w:color w:val="000033"/>
        </w:rPr>
        <w:t>Ś</w:t>
      </w:r>
      <w:r w:rsidRPr="002A36BD">
        <w:t xml:space="preserve">rodki na wydatki bieżące w zakresie </w:t>
      </w:r>
      <w:r w:rsidR="00A40ACB">
        <w:t xml:space="preserve">utrzymania </w:t>
      </w:r>
      <w:r w:rsidRPr="002A36BD">
        <w:t>dróg gminnych planować na poziomie nie niższym niż w roku 202</w:t>
      </w:r>
      <w:r w:rsidR="00BB36DB">
        <w:t>4</w:t>
      </w:r>
      <w:r>
        <w:t xml:space="preserve"> </w:t>
      </w:r>
      <w:r w:rsidRPr="002A36BD">
        <w:t>r</w:t>
      </w:r>
      <w:r>
        <w:t>.</w:t>
      </w:r>
      <w:r w:rsidRPr="002A36BD">
        <w:t xml:space="preserve"> wg planu na dzień 30 </w:t>
      </w:r>
      <w:r w:rsidR="00212D1F">
        <w:t>czerwca</w:t>
      </w:r>
      <w:r w:rsidRPr="002A36BD">
        <w:t xml:space="preserve"> 202</w:t>
      </w:r>
      <w:r w:rsidR="00BB36DB">
        <w:t>4</w:t>
      </w:r>
      <w:r>
        <w:t xml:space="preserve"> </w:t>
      </w:r>
      <w:r w:rsidRPr="002A36BD">
        <w:t>r</w:t>
      </w:r>
      <w:r>
        <w:t>.</w:t>
      </w:r>
    </w:p>
    <w:p w14:paraId="159753DC" w14:textId="39D666FD" w:rsidR="001505AD" w:rsidRPr="00216C6B" w:rsidRDefault="001505AD" w:rsidP="00216C6B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33"/>
        </w:rPr>
      </w:pPr>
      <w:r w:rsidRPr="00216C6B">
        <w:rPr>
          <w:color w:val="000033"/>
        </w:rPr>
        <w:t xml:space="preserve">Nagrody „Interpares” za wyniki w nauce dla uczniów kończących klasy ósme  zaplanować w rozdziale 85415 w kwocie  </w:t>
      </w:r>
      <w:r w:rsidR="00BB36DB" w:rsidRPr="00216C6B">
        <w:rPr>
          <w:color w:val="000033"/>
        </w:rPr>
        <w:t>10</w:t>
      </w:r>
      <w:r w:rsidRPr="00216C6B">
        <w:rPr>
          <w:color w:val="000033"/>
        </w:rPr>
        <w:t>,-  zł na jednego ucznia  szkoły podstawowej klas I-VIII.</w:t>
      </w:r>
    </w:p>
    <w:p w14:paraId="5F7C3310" w14:textId="1387901D" w:rsidR="001505AD" w:rsidRPr="00216C6B" w:rsidRDefault="001505AD" w:rsidP="00216C6B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33"/>
        </w:rPr>
      </w:pPr>
      <w:r w:rsidRPr="00216C6B">
        <w:rPr>
          <w:color w:val="000033"/>
        </w:rPr>
        <w:t>Przy planowaniu środków na zadania inwestycyjne pierwszeństwo w zabezpieczeniu finansowania mają zadania przewidziane do zakończenia w 202</w:t>
      </w:r>
      <w:r w:rsidR="004E1E37" w:rsidRPr="00216C6B">
        <w:rPr>
          <w:color w:val="000033"/>
        </w:rPr>
        <w:t>5</w:t>
      </w:r>
      <w:r w:rsidRPr="00216C6B">
        <w:rPr>
          <w:color w:val="000033"/>
        </w:rPr>
        <w:t xml:space="preserve"> roku,</w:t>
      </w:r>
      <w:r w:rsidR="004E1E37" w:rsidRPr="00216C6B">
        <w:rPr>
          <w:color w:val="000033"/>
        </w:rPr>
        <w:t xml:space="preserve"> </w:t>
      </w:r>
      <w:r w:rsidRPr="00216C6B">
        <w:rPr>
          <w:color w:val="000033"/>
        </w:rPr>
        <w:t xml:space="preserve"> zadania kontynuowane oraz z potwierdzonym zewnętrznym wsparciem finansowym ujęte</w:t>
      </w:r>
      <w:r w:rsidR="004E1E37" w:rsidRPr="00216C6B">
        <w:rPr>
          <w:color w:val="000033"/>
        </w:rPr>
        <w:t xml:space="preserve"> </w:t>
      </w:r>
      <w:r w:rsidR="00216C6B">
        <w:rPr>
          <w:color w:val="000033"/>
        </w:rPr>
        <w:br/>
      </w:r>
      <w:r w:rsidRPr="00216C6B">
        <w:rPr>
          <w:color w:val="000033"/>
        </w:rPr>
        <w:t>w Wieloletniej Prognozie Finansowej oraz Strategii Rozwoju Gminy Srokowo. Planowanie środków na nowe zadania,</w:t>
      </w:r>
      <w:r w:rsidR="00216C6B">
        <w:rPr>
          <w:color w:val="000033"/>
        </w:rPr>
        <w:t xml:space="preserve"> </w:t>
      </w:r>
      <w:r w:rsidRPr="00216C6B">
        <w:rPr>
          <w:color w:val="000033"/>
        </w:rPr>
        <w:t>a także na zadania nie obligatoryjne może nastąpić w koniecznych</w:t>
      </w:r>
      <w:r w:rsidR="00231C3F" w:rsidRPr="00216C6B">
        <w:rPr>
          <w:color w:val="000033"/>
        </w:rPr>
        <w:t xml:space="preserve"> </w:t>
      </w:r>
      <w:r w:rsidRPr="00216C6B">
        <w:rPr>
          <w:color w:val="000033"/>
        </w:rPr>
        <w:t>i uzasadnionych przypadkach (np. planowane porozumieni</w:t>
      </w:r>
      <w:r w:rsidR="005A076D" w:rsidRPr="00216C6B">
        <w:rPr>
          <w:color w:val="000033"/>
        </w:rPr>
        <w:t>a</w:t>
      </w:r>
      <w:r w:rsidRPr="00216C6B">
        <w:rPr>
          <w:color w:val="000033"/>
        </w:rPr>
        <w:t xml:space="preserve"> ze Starostwem Powiatowym w Kętrzynie</w:t>
      </w:r>
      <w:r w:rsidR="00216C6B">
        <w:rPr>
          <w:color w:val="000033"/>
        </w:rPr>
        <w:t xml:space="preserve"> </w:t>
      </w:r>
      <w:r w:rsidR="005A076D" w:rsidRPr="00216C6B">
        <w:rPr>
          <w:color w:val="000033"/>
        </w:rPr>
        <w:t>w zakresie remontów dróg powiatowych</w:t>
      </w:r>
      <w:r w:rsidRPr="00216C6B">
        <w:rPr>
          <w:color w:val="000033"/>
        </w:rPr>
        <w:t xml:space="preserve"> wybran</w:t>
      </w:r>
      <w:r w:rsidR="005A076D" w:rsidRPr="00216C6B">
        <w:rPr>
          <w:color w:val="000033"/>
        </w:rPr>
        <w:t>ych</w:t>
      </w:r>
      <w:r w:rsidRPr="00216C6B">
        <w:rPr>
          <w:color w:val="000033"/>
        </w:rPr>
        <w:t xml:space="preserve"> do wspólnej realizacji</w:t>
      </w:r>
      <w:r w:rsidR="002A0688" w:rsidRPr="00216C6B">
        <w:rPr>
          <w:color w:val="000033"/>
        </w:rPr>
        <w:t xml:space="preserve"> </w:t>
      </w:r>
      <w:r w:rsidR="005A076D" w:rsidRPr="00216C6B">
        <w:rPr>
          <w:color w:val="000033"/>
        </w:rPr>
        <w:t>i</w:t>
      </w:r>
      <w:r w:rsidRPr="00216C6B">
        <w:rPr>
          <w:color w:val="000033"/>
        </w:rPr>
        <w:t xml:space="preserve"> przebiegają</w:t>
      </w:r>
      <w:r w:rsidR="005A076D" w:rsidRPr="00216C6B">
        <w:rPr>
          <w:color w:val="000033"/>
        </w:rPr>
        <w:t>cych</w:t>
      </w:r>
      <w:r w:rsidRPr="00216C6B">
        <w:rPr>
          <w:color w:val="000033"/>
        </w:rPr>
        <w:t xml:space="preserve"> przez teren gminy Srokowo).</w:t>
      </w:r>
    </w:p>
    <w:p w14:paraId="3FE147EC" w14:textId="77777777" w:rsidR="00216C6B" w:rsidRDefault="00216C6B" w:rsidP="00216C6B">
      <w:pPr>
        <w:pStyle w:val="NormalnyWeb"/>
        <w:tabs>
          <w:tab w:val="left" w:pos="0"/>
        </w:tabs>
        <w:spacing w:before="0" w:beforeAutospacing="0" w:after="0" w:afterAutospacing="0"/>
        <w:jc w:val="center"/>
      </w:pPr>
    </w:p>
    <w:p w14:paraId="16AF2C7B" w14:textId="77777777" w:rsidR="00216C6B" w:rsidRDefault="00216C6B" w:rsidP="001505AD">
      <w:pPr>
        <w:pStyle w:val="NormalnyWeb"/>
        <w:spacing w:before="0" w:beforeAutospacing="0" w:after="0" w:afterAutospacing="0"/>
        <w:jc w:val="center"/>
      </w:pPr>
    </w:p>
    <w:p w14:paraId="0E621AD1" w14:textId="77777777" w:rsidR="00216C6B" w:rsidRDefault="00216C6B" w:rsidP="001505AD">
      <w:pPr>
        <w:pStyle w:val="NormalnyWeb"/>
        <w:spacing w:before="0" w:beforeAutospacing="0" w:after="0" w:afterAutospacing="0"/>
        <w:jc w:val="center"/>
      </w:pPr>
    </w:p>
    <w:p w14:paraId="3ABFE2FA" w14:textId="594A31B7" w:rsidR="001505AD" w:rsidRPr="00174B55" w:rsidRDefault="001505AD" w:rsidP="001505AD">
      <w:pPr>
        <w:pStyle w:val="NormalnyWeb"/>
        <w:spacing w:before="0" w:beforeAutospacing="0" w:after="0" w:afterAutospacing="0"/>
        <w:jc w:val="center"/>
      </w:pPr>
      <w:r w:rsidRPr="00174B55">
        <w:t>§ 7.</w:t>
      </w:r>
    </w:p>
    <w:p w14:paraId="6E735574" w14:textId="77777777" w:rsidR="001505AD" w:rsidRDefault="001505AD" w:rsidP="001505AD">
      <w:pPr>
        <w:pStyle w:val="NormalnyWeb"/>
        <w:spacing w:before="0" w:beforeAutospacing="0" w:after="0" w:afterAutospacing="0"/>
        <w:jc w:val="both"/>
        <w:rPr>
          <w:color w:val="000033"/>
        </w:rPr>
      </w:pPr>
      <w:r w:rsidRPr="002A36BD">
        <w:rPr>
          <w:color w:val="000033"/>
        </w:rPr>
        <w:t xml:space="preserve">Jako priorytetowe uznaję zadania: </w:t>
      </w:r>
    </w:p>
    <w:p w14:paraId="59A22BAA" w14:textId="77777777" w:rsidR="001505AD" w:rsidRPr="002A36BD" w:rsidRDefault="001505AD" w:rsidP="001505AD">
      <w:pPr>
        <w:pStyle w:val="NormalnyWeb"/>
        <w:spacing w:before="0" w:beforeAutospacing="0" w:after="0" w:afterAutospacing="0"/>
        <w:jc w:val="both"/>
        <w:rPr>
          <w:color w:val="000033"/>
        </w:rPr>
      </w:pPr>
    </w:p>
    <w:p w14:paraId="3D720195" w14:textId="280B6733" w:rsidR="001505AD" w:rsidRDefault="00B02534" w:rsidP="001505AD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t>Kontynuację i</w:t>
      </w:r>
      <w:r w:rsidR="001505AD" w:rsidRPr="002A36BD">
        <w:t>nwestycj</w:t>
      </w:r>
      <w:r>
        <w:t>i</w:t>
      </w:r>
      <w:r w:rsidR="001505AD" w:rsidRPr="002A36BD">
        <w:t xml:space="preserve"> z dofinansowaniem z  Rządowego Funduszu  Polski Ład</w:t>
      </w:r>
      <w:r w:rsidR="001505AD">
        <w:t>: Programu Inwestycji Strategicznych:</w:t>
      </w:r>
    </w:p>
    <w:p w14:paraId="59B38F63" w14:textId="77777777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firstLine="0"/>
        <w:jc w:val="both"/>
      </w:pPr>
      <w:r>
        <w:t xml:space="preserve">Budowa </w:t>
      </w:r>
      <w:r w:rsidRPr="002A36BD">
        <w:t>stacji uzdatniania wody</w:t>
      </w:r>
      <w:r>
        <w:t xml:space="preserve">, studni głębinowej i infrastruktury technicznej na  </w:t>
      </w:r>
    </w:p>
    <w:p w14:paraId="2759CD57" w14:textId="04368316" w:rsidR="00670AB1" w:rsidRDefault="001505AD" w:rsidP="00670AB1">
      <w:pPr>
        <w:pStyle w:val="NormalnyWeb"/>
        <w:spacing w:before="0" w:beforeAutospacing="0" w:after="0" w:afterAutospacing="0" w:line="276" w:lineRule="auto"/>
        <w:ind w:left="284" w:firstLine="424"/>
        <w:jc w:val="both"/>
      </w:pPr>
      <w:r>
        <w:t xml:space="preserve">ujęciu wody </w:t>
      </w:r>
      <w:r w:rsidRPr="002A36BD">
        <w:t xml:space="preserve"> w Srokowie</w:t>
      </w:r>
      <w:r w:rsidR="00670AB1">
        <w:t>;</w:t>
      </w:r>
    </w:p>
    <w:p w14:paraId="1BEA38A5" w14:textId="12660B20" w:rsidR="00670AB1" w:rsidRDefault="00670AB1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t>Rozbudowa oczyszczalni ścieków w Srokowie;</w:t>
      </w:r>
    </w:p>
    <w:p w14:paraId="483F2E68" w14:textId="3A4FA142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t>T</w:t>
      </w:r>
      <w:r w:rsidRPr="002A36BD">
        <w:t>ermomodernizacja</w:t>
      </w:r>
      <w:r>
        <w:t xml:space="preserve"> </w:t>
      </w:r>
      <w:r w:rsidRPr="002A36BD">
        <w:t>budynku  OSP Srokow</w:t>
      </w:r>
      <w:r>
        <w:t>o z rozbudową stanowisk garażowych</w:t>
      </w:r>
      <w:r w:rsidR="00670AB1">
        <w:t>;</w:t>
      </w:r>
    </w:p>
    <w:p w14:paraId="3AE42DF0" w14:textId="690E3B5C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lastRenderedPageBreak/>
        <w:t>T</w:t>
      </w:r>
      <w:r w:rsidRPr="002A36BD">
        <w:t>ermomodernizacja</w:t>
      </w:r>
      <w:r>
        <w:t xml:space="preserve"> </w:t>
      </w:r>
      <w:r w:rsidRPr="002A36BD">
        <w:t>budynku  OSP</w:t>
      </w:r>
      <w:r>
        <w:t xml:space="preserve"> Jegławki</w:t>
      </w:r>
      <w:r w:rsidR="00670AB1">
        <w:t>;</w:t>
      </w:r>
    </w:p>
    <w:p w14:paraId="5EC32814" w14:textId="6E96D922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t xml:space="preserve">Remont </w:t>
      </w:r>
      <w:r w:rsidR="00670AB1">
        <w:t>wieży ratusza w Srokowie;</w:t>
      </w:r>
    </w:p>
    <w:p w14:paraId="7FE56393" w14:textId="3843A545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t>Remont kaplicy cmentarnej w Srokowie</w:t>
      </w:r>
      <w:r w:rsidR="00670AB1">
        <w:t>;</w:t>
      </w:r>
    </w:p>
    <w:p w14:paraId="1E29F637" w14:textId="77777777" w:rsidR="001505AD" w:rsidRDefault="001505AD" w:rsidP="001505AD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jc w:val="both"/>
      </w:pPr>
      <w:r>
        <w:t>Remont dzwonnicy w Kosakowie.</w:t>
      </w:r>
    </w:p>
    <w:p w14:paraId="4AD7608A" w14:textId="0D0655C5" w:rsidR="001505AD" w:rsidRDefault="001505AD" w:rsidP="00150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</w:pPr>
      <w:r>
        <w:t>Inwestycje z dofinansowaniem z Rządowego Funduszu Rozwoju Dróg</w:t>
      </w:r>
      <w:r w:rsidR="003C3EFB">
        <w:t xml:space="preserve"> (pod warunkiem możliwości zabezpieczenia udziału własnego)</w:t>
      </w:r>
      <w:r>
        <w:t>:</w:t>
      </w:r>
    </w:p>
    <w:p w14:paraId="439F6FB1" w14:textId="45B48983" w:rsidR="001505AD" w:rsidRDefault="00670AB1" w:rsidP="001505AD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70AB1">
        <w:t>Remont dróg gminnych w Kosakowie na odcinku od 0+000 do km 0+718,98 do km 1+008,07 Droga gminna Nr 127015N, Dz. Nr 362/2, 174,361 Obręb Kosakowo</w:t>
      </w:r>
      <w:r w:rsidR="001505AD">
        <w:t>.</w:t>
      </w:r>
    </w:p>
    <w:p w14:paraId="028F3375" w14:textId="700C6793" w:rsidR="00670AB1" w:rsidRDefault="00670AB1" w:rsidP="001505AD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70AB1">
        <w:t xml:space="preserve">Remont drogi w gminie Srokowo zlokalizowanej na dz. Nr 116/1 obręb Chojnica </w:t>
      </w:r>
      <w:r>
        <w:br/>
      </w:r>
      <w:r w:rsidRPr="00670AB1">
        <w:t>(m</w:t>
      </w:r>
      <w:r>
        <w:t>.</w:t>
      </w:r>
      <w:r w:rsidRPr="00670AB1">
        <w:t xml:space="preserve"> Szczeciniak)</w:t>
      </w:r>
    </w:p>
    <w:p w14:paraId="568C9FCF" w14:textId="7B8E43A5" w:rsidR="001505AD" w:rsidRPr="002A36BD" w:rsidRDefault="001505AD" w:rsidP="00150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</w:pPr>
      <w:r w:rsidRPr="002A36BD">
        <w:t>Ujęcie</w:t>
      </w:r>
      <w:r>
        <w:t xml:space="preserve"> w budżecie</w:t>
      </w:r>
      <w:r w:rsidRPr="002A36BD">
        <w:t xml:space="preserve"> min</w:t>
      </w:r>
      <w:r>
        <w:t>imalnej</w:t>
      </w:r>
      <w:r w:rsidRPr="002A36BD">
        <w:t xml:space="preserve"> kwoty 1</w:t>
      </w:r>
      <w:r w:rsidR="00212D1F">
        <w:t>0</w:t>
      </w:r>
      <w:r w:rsidRPr="002A36BD">
        <w:t>0 tys. zł na dofinansowanie dla mieszkańców na budowę oczyszczalni przydomowych</w:t>
      </w:r>
    </w:p>
    <w:p w14:paraId="6BDB9F1D" w14:textId="69D829E8" w:rsidR="001505AD" w:rsidRPr="002A36BD" w:rsidRDefault="001505AD" w:rsidP="00150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</w:pPr>
      <w:r w:rsidRPr="002A36BD">
        <w:t>Ponadto planuje się  zadania (pod warunkiem pozyskania środków zewnętrznych</w:t>
      </w:r>
      <w:r w:rsidR="003C3EFB">
        <w:t xml:space="preserve"> </w:t>
      </w:r>
      <w:r w:rsidR="003C3EFB">
        <w:br/>
        <w:t>i zabezpieczenia wkładu własnego</w:t>
      </w:r>
      <w:r w:rsidRPr="002A36BD">
        <w:t>) :</w:t>
      </w:r>
    </w:p>
    <w:p w14:paraId="63741059" w14:textId="3C20F40B" w:rsidR="001505AD" w:rsidRPr="002A36BD" w:rsidRDefault="00D95CB4" w:rsidP="001505AD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t>Modernizacja drogi Lesieniec-Srokowo</w:t>
      </w:r>
      <w:r w:rsidR="001505AD" w:rsidRPr="002A36BD">
        <w:t xml:space="preserve">, </w:t>
      </w:r>
    </w:p>
    <w:p w14:paraId="76A40710" w14:textId="15566F2E" w:rsidR="001505AD" w:rsidRPr="00212D1F" w:rsidRDefault="001505AD" w:rsidP="001505AD">
      <w:pPr>
        <w:pStyle w:val="NormalnyWeb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bCs/>
        </w:rPr>
      </w:pPr>
      <w:r w:rsidRPr="002A36BD">
        <w:t>Modernizacja drogi  w  Leśniewie</w:t>
      </w:r>
      <w:r w:rsidR="00212D1F">
        <w:t>,</w:t>
      </w:r>
    </w:p>
    <w:p w14:paraId="3AF44939" w14:textId="16CA8C1F" w:rsidR="00212D1F" w:rsidRPr="00DE626C" w:rsidRDefault="00212D1F" w:rsidP="001505AD">
      <w:pPr>
        <w:pStyle w:val="NormalnyWeb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bCs/>
        </w:rPr>
      </w:pPr>
      <w:r>
        <w:t>Modernizację innych dróg gminnych.</w:t>
      </w:r>
    </w:p>
    <w:p w14:paraId="0DAFDDC3" w14:textId="573F0F27" w:rsidR="001505AD" w:rsidRPr="002A36BD" w:rsidRDefault="001505AD" w:rsidP="00D95CB4">
      <w:pPr>
        <w:pStyle w:val="NormalnyWeb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b/>
          <w:bCs/>
        </w:rPr>
      </w:pPr>
    </w:p>
    <w:p w14:paraId="2EDB3983" w14:textId="77777777" w:rsidR="001505AD" w:rsidRDefault="001505AD" w:rsidP="001505AD">
      <w:pPr>
        <w:pStyle w:val="NormalnyWeb"/>
        <w:autoSpaceDE w:val="0"/>
        <w:autoSpaceDN w:val="0"/>
        <w:adjustRightInd w:val="0"/>
        <w:ind w:left="360" w:hanging="360"/>
        <w:jc w:val="center"/>
      </w:pPr>
      <w:r w:rsidRPr="00174B55">
        <w:t>§ 8.</w:t>
      </w:r>
    </w:p>
    <w:p w14:paraId="2B3A2EDB" w14:textId="77777777" w:rsidR="001505AD" w:rsidRDefault="001505AD" w:rsidP="001505AD">
      <w:pPr>
        <w:pStyle w:val="NormalnyWeb"/>
        <w:autoSpaceDE w:val="0"/>
        <w:autoSpaceDN w:val="0"/>
        <w:adjustRightInd w:val="0"/>
        <w:ind w:left="360" w:hanging="360"/>
        <w:jc w:val="center"/>
        <w:rPr>
          <w:b/>
          <w:i/>
          <w:u w:val="single"/>
        </w:rPr>
      </w:pPr>
      <w:r w:rsidRPr="00A85796">
        <w:rPr>
          <w:b/>
          <w:i/>
          <w:u w:val="single"/>
        </w:rPr>
        <w:t>Zadania bez kalkulacji kosztów realizacji nie będą przyjmowane do prac nad projektu budżetu.</w:t>
      </w:r>
    </w:p>
    <w:p w14:paraId="1D665136" w14:textId="77777777" w:rsidR="004A53DB" w:rsidRDefault="004A53DB"/>
    <w:sectPr w:rsidR="004A53DB" w:rsidSect="0040739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6CFB" w14:textId="77777777" w:rsidR="00036916" w:rsidRDefault="00036916" w:rsidP="001505AD">
      <w:r>
        <w:separator/>
      </w:r>
    </w:p>
  </w:endnote>
  <w:endnote w:type="continuationSeparator" w:id="0">
    <w:p w14:paraId="787BD7D9" w14:textId="77777777" w:rsidR="00036916" w:rsidRDefault="00036916" w:rsidP="0015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710043"/>
      <w:docPartObj>
        <w:docPartGallery w:val="Page Numbers (Bottom of Page)"/>
        <w:docPartUnique/>
      </w:docPartObj>
    </w:sdtPr>
    <w:sdtContent>
      <w:p w14:paraId="48192DA7" w14:textId="06BC6FF6" w:rsidR="001505AD" w:rsidRDefault="00150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C7915" w14:textId="77777777" w:rsidR="001505AD" w:rsidRDefault="00150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552D" w14:textId="77777777" w:rsidR="00036916" w:rsidRDefault="00036916" w:rsidP="001505AD">
      <w:r>
        <w:separator/>
      </w:r>
    </w:p>
  </w:footnote>
  <w:footnote w:type="continuationSeparator" w:id="0">
    <w:p w14:paraId="04CCD5EA" w14:textId="77777777" w:rsidR="00036916" w:rsidRDefault="00036916" w:rsidP="0015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7FB"/>
    <w:multiLevelType w:val="hybridMultilevel"/>
    <w:tmpl w:val="05140BD0"/>
    <w:lvl w:ilvl="0" w:tplc="04150011">
      <w:start w:val="1"/>
      <w:numFmt w:val="decimal"/>
      <w:lvlText w:val="%1)"/>
      <w:lvlJc w:val="left"/>
      <w:pPr>
        <w:ind w:left="2416" w:hanging="360"/>
      </w:pPr>
    </w:lvl>
    <w:lvl w:ilvl="1" w:tplc="FFFFFFFF" w:tentative="1">
      <w:start w:val="1"/>
      <w:numFmt w:val="lowerLetter"/>
      <w:lvlText w:val="%2."/>
      <w:lvlJc w:val="left"/>
      <w:pPr>
        <w:ind w:left="3136" w:hanging="360"/>
      </w:pPr>
    </w:lvl>
    <w:lvl w:ilvl="2" w:tplc="FFFFFFFF" w:tentative="1">
      <w:start w:val="1"/>
      <w:numFmt w:val="lowerRoman"/>
      <w:lvlText w:val="%3."/>
      <w:lvlJc w:val="right"/>
      <w:pPr>
        <w:ind w:left="3856" w:hanging="180"/>
      </w:pPr>
    </w:lvl>
    <w:lvl w:ilvl="3" w:tplc="FFFFFFFF" w:tentative="1">
      <w:start w:val="1"/>
      <w:numFmt w:val="decimal"/>
      <w:lvlText w:val="%4."/>
      <w:lvlJc w:val="left"/>
      <w:pPr>
        <w:ind w:left="4576" w:hanging="360"/>
      </w:pPr>
    </w:lvl>
    <w:lvl w:ilvl="4" w:tplc="FFFFFFFF" w:tentative="1">
      <w:start w:val="1"/>
      <w:numFmt w:val="lowerLetter"/>
      <w:lvlText w:val="%5."/>
      <w:lvlJc w:val="left"/>
      <w:pPr>
        <w:ind w:left="5296" w:hanging="360"/>
      </w:pPr>
    </w:lvl>
    <w:lvl w:ilvl="5" w:tplc="FFFFFFFF" w:tentative="1">
      <w:start w:val="1"/>
      <w:numFmt w:val="lowerRoman"/>
      <w:lvlText w:val="%6."/>
      <w:lvlJc w:val="right"/>
      <w:pPr>
        <w:ind w:left="6016" w:hanging="180"/>
      </w:pPr>
    </w:lvl>
    <w:lvl w:ilvl="6" w:tplc="FFFFFFFF" w:tentative="1">
      <w:start w:val="1"/>
      <w:numFmt w:val="decimal"/>
      <w:lvlText w:val="%7."/>
      <w:lvlJc w:val="left"/>
      <w:pPr>
        <w:ind w:left="6736" w:hanging="360"/>
      </w:pPr>
    </w:lvl>
    <w:lvl w:ilvl="7" w:tplc="FFFFFFFF" w:tentative="1">
      <w:start w:val="1"/>
      <w:numFmt w:val="lowerLetter"/>
      <w:lvlText w:val="%8."/>
      <w:lvlJc w:val="left"/>
      <w:pPr>
        <w:ind w:left="7456" w:hanging="360"/>
      </w:pPr>
    </w:lvl>
    <w:lvl w:ilvl="8" w:tplc="FFFFFFFF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" w15:restartNumberingAfterBreak="0">
    <w:nsid w:val="0BE212A4"/>
    <w:multiLevelType w:val="hybridMultilevel"/>
    <w:tmpl w:val="200CBB2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065E"/>
    <w:multiLevelType w:val="hybridMultilevel"/>
    <w:tmpl w:val="647E9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F62"/>
    <w:multiLevelType w:val="hybridMultilevel"/>
    <w:tmpl w:val="E4D6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E5E"/>
    <w:multiLevelType w:val="hybridMultilevel"/>
    <w:tmpl w:val="AAC0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3A04"/>
    <w:multiLevelType w:val="hybridMultilevel"/>
    <w:tmpl w:val="E0246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77E4C"/>
    <w:multiLevelType w:val="hybridMultilevel"/>
    <w:tmpl w:val="2E4C8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5BB1"/>
    <w:multiLevelType w:val="hybridMultilevel"/>
    <w:tmpl w:val="1F52DB9E"/>
    <w:lvl w:ilvl="0" w:tplc="CCD454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56077"/>
    <w:multiLevelType w:val="hybridMultilevel"/>
    <w:tmpl w:val="69B4B270"/>
    <w:lvl w:ilvl="0" w:tplc="54A25C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D23AB"/>
    <w:multiLevelType w:val="hybridMultilevel"/>
    <w:tmpl w:val="10EC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81655"/>
    <w:multiLevelType w:val="hybridMultilevel"/>
    <w:tmpl w:val="CE8E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107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81247"/>
    <w:multiLevelType w:val="hybridMultilevel"/>
    <w:tmpl w:val="A704D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0300"/>
    <w:multiLevelType w:val="hybridMultilevel"/>
    <w:tmpl w:val="0A8E6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B44B3"/>
    <w:multiLevelType w:val="hybridMultilevel"/>
    <w:tmpl w:val="A7588E0C"/>
    <w:lvl w:ilvl="0" w:tplc="D9BA2FEA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58160968"/>
    <w:multiLevelType w:val="hybridMultilevel"/>
    <w:tmpl w:val="2FF8B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193F"/>
    <w:multiLevelType w:val="hybridMultilevel"/>
    <w:tmpl w:val="76424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17B5"/>
    <w:multiLevelType w:val="hybridMultilevel"/>
    <w:tmpl w:val="D4B6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669D3"/>
    <w:multiLevelType w:val="hybridMultilevel"/>
    <w:tmpl w:val="E2FC8A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274"/>
    <w:multiLevelType w:val="hybridMultilevel"/>
    <w:tmpl w:val="9D4609F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C24DAA"/>
    <w:multiLevelType w:val="hybridMultilevel"/>
    <w:tmpl w:val="620C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3215"/>
    <w:multiLevelType w:val="hybridMultilevel"/>
    <w:tmpl w:val="4E0CA62E"/>
    <w:lvl w:ilvl="0" w:tplc="CD8E556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2B8C"/>
    <w:multiLevelType w:val="hybridMultilevel"/>
    <w:tmpl w:val="8032671E"/>
    <w:lvl w:ilvl="0" w:tplc="EF94A71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8088F"/>
    <w:multiLevelType w:val="hybridMultilevel"/>
    <w:tmpl w:val="09F8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297"/>
    <w:multiLevelType w:val="hybridMultilevel"/>
    <w:tmpl w:val="A3FE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7248">
    <w:abstractNumId w:val="18"/>
  </w:num>
  <w:num w:numId="2" w16cid:durableId="1905024479">
    <w:abstractNumId w:val="21"/>
  </w:num>
  <w:num w:numId="3" w16cid:durableId="103699094">
    <w:abstractNumId w:val="6"/>
  </w:num>
  <w:num w:numId="4" w16cid:durableId="2029021451">
    <w:abstractNumId w:val="13"/>
  </w:num>
  <w:num w:numId="5" w16cid:durableId="427967245">
    <w:abstractNumId w:val="16"/>
  </w:num>
  <w:num w:numId="6" w16cid:durableId="367532059">
    <w:abstractNumId w:val="12"/>
  </w:num>
  <w:num w:numId="7" w16cid:durableId="2057463538">
    <w:abstractNumId w:val="4"/>
  </w:num>
  <w:num w:numId="8" w16cid:durableId="317536870">
    <w:abstractNumId w:val="19"/>
  </w:num>
  <w:num w:numId="9" w16cid:durableId="229341994">
    <w:abstractNumId w:val="23"/>
  </w:num>
  <w:num w:numId="10" w16cid:durableId="1544442105">
    <w:abstractNumId w:val="11"/>
  </w:num>
  <w:num w:numId="11" w16cid:durableId="835072465">
    <w:abstractNumId w:val="7"/>
  </w:num>
  <w:num w:numId="12" w16cid:durableId="1853304117">
    <w:abstractNumId w:val="0"/>
  </w:num>
  <w:num w:numId="13" w16cid:durableId="2084252653">
    <w:abstractNumId w:val="17"/>
  </w:num>
  <w:num w:numId="14" w16cid:durableId="1494300333">
    <w:abstractNumId w:val="1"/>
  </w:num>
  <w:num w:numId="15" w16cid:durableId="1053768528">
    <w:abstractNumId w:val="10"/>
  </w:num>
  <w:num w:numId="16" w16cid:durableId="919290511">
    <w:abstractNumId w:val="15"/>
  </w:num>
  <w:num w:numId="17" w16cid:durableId="549072746">
    <w:abstractNumId w:val="22"/>
  </w:num>
  <w:num w:numId="18" w16cid:durableId="665860141">
    <w:abstractNumId w:val="5"/>
  </w:num>
  <w:num w:numId="19" w16cid:durableId="1263956112">
    <w:abstractNumId w:val="14"/>
  </w:num>
  <w:num w:numId="20" w16cid:durableId="62065508">
    <w:abstractNumId w:val="8"/>
  </w:num>
  <w:num w:numId="21" w16cid:durableId="1464349260">
    <w:abstractNumId w:val="9"/>
  </w:num>
  <w:num w:numId="22" w16cid:durableId="1745760148">
    <w:abstractNumId w:val="20"/>
  </w:num>
  <w:num w:numId="23" w16cid:durableId="2103723724">
    <w:abstractNumId w:val="2"/>
  </w:num>
  <w:num w:numId="24" w16cid:durableId="77340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D"/>
    <w:rsid w:val="0000388E"/>
    <w:rsid w:val="00036916"/>
    <w:rsid w:val="000A7A5F"/>
    <w:rsid w:val="000E287B"/>
    <w:rsid w:val="000E52BB"/>
    <w:rsid w:val="001505AD"/>
    <w:rsid w:val="00182857"/>
    <w:rsid w:val="001B5491"/>
    <w:rsid w:val="00212D1F"/>
    <w:rsid w:val="00216C6B"/>
    <w:rsid w:val="00231C3F"/>
    <w:rsid w:val="002450C1"/>
    <w:rsid w:val="002A0688"/>
    <w:rsid w:val="002A2E35"/>
    <w:rsid w:val="00322FF2"/>
    <w:rsid w:val="00394657"/>
    <w:rsid w:val="003C3EFB"/>
    <w:rsid w:val="003C5CAB"/>
    <w:rsid w:val="003E3EDB"/>
    <w:rsid w:val="00407390"/>
    <w:rsid w:val="00412AF4"/>
    <w:rsid w:val="004271D2"/>
    <w:rsid w:val="004A1E92"/>
    <w:rsid w:val="004A2F14"/>
    <w:rsid w:val="004A53DB"/>
    <w:rsid w:val="004E1E37"/>
    <w:rsid w:val="004F1013"/>
    <w:rsid w:val="00513254"/>
    <w:rsid w:val="005A076D"/>
    <w:rsid w:val="005E13F9"/>
    <w:rsid w:val="00670AB1"/>
    <w:rsid w:val="006B0D17"/>
    <w:rsid w:val="006D5668"/>
    <w:rsid w:val="006E2C4B"/>
    <w:rsid w:val="00724294"/>
    <w:rsid w:val="00725137"/>
    <w:rsid w:val="00833A39"/>
    <w:rsid w:val="008769EA"/>
    <w:rsid w:val="00934836"/>
    <w:rsid w:val="00963694"/>
    <w:rsid w:val="00993835"/>
    <w:rsid w:val="009E4DCA"/>
    <w:rsid w:val="00A01208"/>
    <w:rsid w:val="00A40ACB"/>
    <w:rsid w:val="00A97CB8"/>
    <w:rsid w:val="00B02534"/>
    <w:rsid w:val="00B424DA"/>
    <w:rsid w:val="00B76699"/>
    <w:rsid w:val="00BB32CC"/>
    <w:rsid w:val="00BB36DB"/>
    <w:rsid w:val="00BD28B4"/>
    <w:rsid w:val="00C63641"/>
    <w:rsid w:val="00CE1801"/>
    <w:rsid w:val="00CF2962"/>
    <w:rsid w:val="00D1160D"/>
    <w:rsid w:val="00D17747"/>
    <w:rsid w:val="00D65DC5"/>
    <w:rsid w:val="00D95CB4"/>
    <w:rsid w:val="00E06F28"/>
    <w:rsid w:val="00E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166C"/>
  <w15:chartTrackingRefBased/>
  <w15:docId w15:val="{E856AED3-D484-4AE1-BA86-91D6EF3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5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505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05A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1505A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505AD"/>
    <w:rPr>
      <w:b/>
      <w:bCs/>
    </w:rPr>
  </w:style>
  <w:style w:type="character" w:styleId="Uwydatnienie">
    <w:name w:val="Emphasis"/>
    <w:qFormat/>
    <w:rsid w:val="001505AD"/>
    <w:rPr>
      <w:i/>
      <w:iCs/>
    </w:rPr>
  </w:style>
  <w:style w:type="paragraph" w:styleId="Tekstpodstawowy">
    <w:name w:val="Body Text"/>
    <w:basedOn w:val="Normalny"/>
    <w:link w:val="TekstpodstawowyZnak"/>
    <w:rsid w:val="001505A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05AD"/>
    <w:rPr>
      <w:rFonts w:ascii="Times New Roman" w:eastAsia="Times New Roman" w:hAnsi="Times New Roman" w:cs="Times New Roman"/>
      <w:color w:val="000000"/>
      <w:kern w:val="0"/>
      <w:sz w:val="28"/>
      <w:szCs w:val="20"/>
      <w:lang w:eastAsia="pl-PL"/>
      <w14:ligatures w14:val="none"/>
    </w:rPr>
  </w:style>
  <w:style w:type="character" w:styleId="Hipercze">
    <w:name w:val="Hyperlink"/>
    <w:uiPriority w:val="99"/>
    <w:rsid w:val="001505AD"/>
    <w:rPr>
      <w:color w:val="0000FF"/>
      <w:u w:val="single"/>
    </w:rPr>
  </w:style>
  <w:style w:type="paragraph" w:customStyle="1" w:styleId="c1">
    <w:name w:val="c1"/>
    <w:basedOn w:val="Normalny"/>
    <w:rsid w:val="001505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1505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505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150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5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5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5A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1505AD"/>
  </w:style>
  <w:style w:type="paragraph" w:customStyle="1" w:styleId="Default">
    <w:name w:val="Default"/>
    <w:rsid w:val="00150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5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5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1505AD"/>
    <w:rPr>
      <w:vertAlign w:val="superscript"/>
    </w:rPr>
  </w:style>
  <w:style w:type="table" w:styleId="Tabela-Siatka">
    <w:name w:val="Table Grid"/>
    <w:basedOn w:val="Standardowy"/>
    <w:uiPriority w:val="39"/>
    <w:rsid w:val="001505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05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1505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k.heine</dc:creator>
  <cp:keywords/>
  <dc:description/>
  <cp:lastModifiedBy>k.heine</cp:lastModifiedBy>
  <cp:revision>147</cp:revision>
  <dcterms:created xsi:type="dcterms:W3CDTF">2023-08-30T08:08:00Z</dcterms:created>
  <dcterms:modified xsi:type="dcterms:W3CDTF">2024-08-30T07:07:00Z</dcterms:modified>
</cp:coreProperties>
</file>