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hd w:fill="auto" w:val="clear"/>
        </w:rPr>
      </w:pPr>
      <w:r>
        <w:rPr>
          <w:shd w:fill="auto" w:val="clear"/>
        </w:rPr>
        <w:t>RGT.6840.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18</w:t>
      </w:r>
      <w:r>
        <w:rPr>
          <w:shd w:fill="auto" w:val="clear"/>
        </w:rPr>
        <w:t>.202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3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</w:t>
      </w:r>
      <w:r>
        <w:rPr/>
        <w:t xml:space="preserve">Srokowo, dnia 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01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.0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2</w:t>
      </w:r>
      <w:r>
        <w:rPr>
          <w:rFonts w:eastAsia="Times New Roman" w:cs="Times New Roman"/>
          <w:sz w:val="24"/>
          <w:szCs w:val="24"/>
          <w:shd w:fill="auto" w:val="clear"/>
          <w:lang w:eastAsia="pl-PL"/>
        </w:rPr>
        <w:t>.202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4</w:t>
      </w:r>
      <w:r>
        <w:rPr>
          <w:shd w:fill="auto" w:val="clear"/>
        </w:rPr>
        <w:t xml:space="preserve"> r.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>OGŁ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pl-PL" w:eastAsia="pl-PL" w:bidi="ar-SA"/>
        </w:rPr>
        <w:t>OSZENIE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>
      <w:pPr>
        <w:pStyle w:val="Normal"/>
        <w:jc w:val="both"/>
        <w:rPr>
          <w:shd w:fill="auto" w:val="clear"/>
        </w:rPr>
      </w:pPr>
      <w:r>
        <w:rPr>
          <w:b/>
          <w:sz w:val="28"/>
          <w:szCs w:val="28"/>
          <w:shd w:fill="auto" w:val="clear"/>
        </w:rPr>
        <w:tab/>
      </w:r>
      <w:r>
        <w:rPr>
          <w:b w:val="false"/>
          <w:bCs w:val="false"/>
          <w:sz w:val="24"/>
          <w:szCs w:val="24"/>
          <w:shd w:fill="auto" w:val="clear"/>
        </w:rPr>
        <w:t>Na podstawie art. 38 i art. 40 ust. 1 pkt. 2 ustawy z dnia 21 sierpnia 1997 r. o gospodarce nieruchomościami (t.j. Dz. U. z 2023 r. poz. 344 z późn. zm.), rozporządzenia Rady Ministrów z dnia 14 września 2004 r. w sprawie sposobu o trybu przeprowadzania przetargów oraz rokowań na zbycie nieruchomości (t.j. Dz. U. z 2021 r. poz. 2213) oraz art. 6 ustawy z dnia 11 kwietnia 2003 r. o kształtowaniu ustroju rolnego (t.j. Dz. U. z 2022 r. poz. 2569 z późn. zm.) Wójt Gminy Srokowo ogłasza I ustny przetarg ograniczony na sprzedaż:</w:t>
      </w:r>
    </w:p>
    <w:p>
      <w:pPr>
        <w:pStyle w:val="Normal"/>
        <w:spacing w:lineRule="auto" w:line="276"/>
        <w:jc w:val="both"/>
        <w:rPr>
          <w:shd w:fill="auto" w:val="clear"/>
        </w:rPr>
      </w:pPr>
      <w:r>
        <w:rPr>
          <w:b w:val="false"/>
          <w:bCs w:val="false"/>
          <w:shd w:fill="auto" w:val="clear"/>
        </w:rPr>
        <w:t xml:space="preserve">nieruchomości niezabudowanej nr </w:t>
      </w: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pl-PL" w:eastAsia="pl-PL" w:bidi="ar-SA"/>
        </w:rPr>
        <w:t>170</w:t>
      </w:r>
      <w:r>
        <w:rPr>
          <w:b w:val="false"/>
          <w:bCs w:val="false"/>
          <w:shd w:fill="auto" w:val="clear"/>
        </w:rPr>
        <w:t xml:space="preserve"> o pow. </w:t>
      </w: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pl-PL" w:eastAsia="pl-PL" w:bidi="ar-SA"/>
        </w:rPr>
        <w:t>1,54</w:t>
      </w:r>
      <w:r>
        <w:rPr>
          <w:b w:val="false"/>
          <w:bCs w:val="false"/>
          <w:shd w:fill="auto" w:val="clear"/>
        </w:rPr>
        <w:t xml:space="preserve"> ha, posiadającej urządzoną księgę wieczystą KW </w:t>
      </w:r>
      <w:r>
        <w:rPr>
          <w:b w:val="false"/>
          <w:bCs w:val="false"/>
          <w:shd w:fill="auto" w:val="clear"/>
          <w:lang w:eastAsia="en-US"/>
        </w:rPr>
        <w:t>OL1K/</w:t>
      </w: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pl-PL" w:eastAsia="en-US" w:bidi="ar-SA"/>
        </w:rPr>
        <w:t xml:space="preserve">00021603/9 prowadzonej przez Sąd Rejonowy w Kętrzynie, </w:t>
      </w:r>
      <w:r>
        <w:rPr>
          <w:b w:val="false"/>
          <w:bCs w:val="false"/>
          <w:shd w:fill="auto" w:val="clear"/>
        </w:rPr>
        <w:t xml:space="preserve"> położonej  w obrębie ewidencyjnym </w:t>
      </w: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pl-PL" w:eastAsia="en-US" w:bidi="ar-SA"/>
        </w:rPr>
        <w:t>Kosakowo</w:t>
      </w:r>
      <w:r>
        <w:rPr>
          <w:b w:val="false"/>
          <w:bCs w:val="false"/>
          <w:shd w:fill="auto" w:val="clear"/>
        </w:rPr>
        <w:t>,</w:t>
      </w:r>
      <w:r>
        <w:rPr>
          <w:b/>
          <w:shd w:fill="auto" w:val="clear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pl-PL" w:eastAsia="pl-PL" w:bidi="ar-SA"/>
        </w:rPr>
        <w:t>Gmina Srokowo.</w:t>
      </w:r>
    </w:p>
    <w:p>
      <w:pPr>
        <w:pStyle w:val="Normal"/>
        <w:spacing w:lineRule="auto" w:line="276"/>
        <w:jc w:val="both"/>
        <w:rPr>
          <w:shd w:fill="auto" w:val="clear"/>
        </w:rPr>
      </w:pP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pl-PL" w:eastAsia="pl-PL" w:bidi="ar-SA"/>
        </w:rPr>
        <w:t>Użytki wchodzące w skład wymienionej działki: RIIIa- 0,62 ha, RIIIb- 0,80 ha, RIVa- 0,12 ha. Razem: 1,54 ha</w:t>
      </w:r>
    </w:p>
    <w:p>
      <w:pPr>
        <w:pStyle w:val="Normal"/>
        <w:spacing w:lineRule="auto" w:line="276"/>
        <w:jc w:val="both"/>
        <w:rPr>
          <w:shd w:fill="auto" w:val="clear"/>
        </w:rPr>
      </w:pP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pl-PL" w:eastAsia="pl-PL" w:bidi="ar-SA"/>
        </w:rPr>
        <w:t>Działka nie jest objęta planem zagospodarowania przestrzennego Gminy Srokowo.</w:t>
      </w:r>
    </w:p>
    <w:p>
      <w:pPr>
        <w:pStyle w:val="Normal"/>
        <w:spacing w:lineRule="auto" w:line="276"/>
        <w:jc w:val="both"/>
        <w:rPr>
          <w:shd w:fill="auto" w:val="clear"/>
        </w:rPr>
      </w:pP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pl-PL" w:eastAsia="en-US" w:bidi="ar-SA"/>
        </w:rPr>
        <w:t xml:space="preserve">Nieruchomość nie jest przedmiotem zobowiązań i jest wolna od obciążeń.                         </w:t>
      </w:r>
    </w:p>
    <w:p>
      <w:pPr>
        <w:pStyle w:val="Normal"/>
        <w:spacing w:lineRule="auto" w:line="276"/>
        <w:jc w:val="both"/>
        <w:rPr>
          <w:shd w:fill="auto" w:val="clear"/>
        </w:rPr>
      </w:pPr>
      <w:r>
        <w:rPr>
          <w:b w:val="false"/>
          <w:bCs w:val="false"/>
          <w:shd w:fill="auto" w:val="clear"/>
          <w:lang w:eastAsia="en-US"/>
        </w:rPr>
        <w:t>Cena wywoławcza:</w:t>
      </w:r>
      <w:r>
        <w:rPr>
          <w:b/>
          <w:shd w:fill="auto" w:val="clear"/>
          <w:lang w:eastAsia="en-US"/>
        </w:rPr>
        <w:t xml:space="preserve"> </w:t>
      </w:r>
      <w:r>
        <w:rPr>
          <w:rFonts w:eastAsia="Times New Roman" w:cs="Times New Roman"/>
          <w:b/>
          <w:color w:val="000000"/>
          <w:kern w:val="0"/>
          <w:sz w:val="24"/>
          <w:szCs w:val="24"/>
          <w:shd w:fill="auto" w:val="clear"/>
          <w:lang w:val="pl-PL" w:eastAsia="en-US" w:bidi="ar-SA"/>
        </w:rPr>
        <w:t>59000,00</w:t>
      </w:r>
      <w:r>
        <w:rPr>
          <w:b/>
          <w:shd w:fill="auto" w:val="clear"/>
          <w:lang w:eastAsia="en-US"/>
        </w:rPr>
        <w:t xml:space="preserve"> zł, </w:t>
      </w:r>
      <w:r>
        <w:rPr>
          <w:b w:val="false"/>
          <w:bCs w:val="false"/>
          <w:shd w:fill="auto" w:val="clear"/>
          <w:lang w:eastAsia="en-US"/>
        </w:rPr>
        <w:t>wadium wynosi:</w:t>
      </w:r>
      <w:r>
        <w:rPr>
          <w:b/>
          <w:shd w:fill="auto" w:val="clear"/>
          <w:lang w:eastAsia="en-US"/>
        </w:rPr>
        <w:t xml:space="preserve"> </w:t>
      </w:r>
      <w:r>
        <w:rPr>
          <w:rFonts w:eastAsia="Times New Roman" w:cs="Times New Roman"/>
          <w:b/>
          <w:color w:val="000000"/>
          <w:kern w:val="0"/>
          <w:sz w:val="24"/>
          <w:szCs w:val="24"/>
          <w:shd w:fill="auto" w:val="clear"/>
          <w:lang w:val="pl-PL" w:eastAsia="en-US" w:bidi="ar-SA"/>
        </w:rPr>
        <w:t>5900</w:t>
      </w:r>
      <w:r>
        <w:rPr>
          <w:b/>
          <w:shd w:fill="auto" w:val="clear"/>
          <w:lang w:eastAsia="en-US"/>
        </w:rPr>
        <w:t>,00 zł.</w:t>
      </w:r>
    </w:p>
    <w:p>
      <w:pPr>
        <w:pStyle w:val="Normal"/>
        <w:spacing w:lineRule="auto" w:line="276"/>
        <w:jc w:val="both"/>
        <w:rPr>
          <w:shd w:fill="auto" w:val="clear"/>
        </w:rPr>
      </w:pP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pl-PL" w:eastAsia="en-US" w:bidi="ar-SA"/>
        </w:rPr>
        <w:t>Zgodnie z przepisami ustawy z dnia 11 marca 2004 r. o podatku od towarów i usług (t.j. Dz. U. z 2023 r. poz. 1570 z późn. zm.) sprzedaż nieruchomości zwolniona jest z podatku VAT</w:t>
      </w:r>
      <w:r>
        <w:rPr>
          <w:b w:val="false"/>
          <w:bCs w:val="false"/>
          <w:shd w:fill="auto" w:val="clear"/>
          <w:lang w:eastAsia="en-US"/>
        </w:rPr>
        <w:t>.</w:t>
      </w:r>
    </w:p>
    <w:p>
      <w:pPr>
        <w:pStyle w:val="Normal"/>
        <w:jc w:val="both"/>
        <w:rPr>
          <w:shd w:fill="auto" w:val="clear"/>
        </w:rPr>
      </w:pP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shd w:fill="auto" w:val="clear"/>
          <w:lang w:val="pl-PL" w:eastAsia="pl-PL" w:bidi="ar-SA"/>
        </w:rPr>
        <w:t>Przetarg odbędzie się dnia 0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shd w:fill="auto" w:val="clear"/>
          <w:lang w:val="pl-PL" w:eastAsia="pl-PL" w:bidi="ar-SA"/>
        </w:rPr>
        <w:t>7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shd w:fill="auto" w:val="clear"/>
          <w:lang w:val="pl-PL" w:eastAsia="pl-PL" w:bidi="ar-SA"/>
        </w:rPr>
        <w:t>.03.2024 r. o godzinie 10-ej w siedzibie urzędu, pokój Nr 8.</w:t>
      </w:r>
    </w:p>
    <w:p>
      <w:pPr>
        <w:pStyle w:val="Normal"/>
        <w:jc w:val="both"/>
        <w:rPr/>
      </w:pP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Warunkiem przystąpienia do przet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argu jest wniesienie wadium na konto Urzędu Gminy w Srokowie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 xml:space="preserve"> 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shd w:fill="auto" w:val="clear"/>
          <w:lang w:val="pl-PL" w:eastAsia="pl-PL" w:bidi="ar-SA"/>
        </w:rPr>
        <w:t>najpóźniej do dnia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 xml:space="preserve"> 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shd w:fill="auto" w:val="clear"/>
          <w:lang w:val="pl-PL" w:eastAsia="pl-PL" w:bidi="ar-SA"/>
        </w:rPr>
        <w:t>04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shd w:fill="auto" w:val="clear"/>
          <w:lang w:val="pl-PL" w:eastAsia="pl-PL" w:bidi="ar-SA"/>
        </w:rPr>
        <w:t>.0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shd w:fill="auto" w:val="clear"/>
          <w:lang w:val="pl-PL" w:eastAsia="pl-PL" w:bidi="ar-SA"/>
        </w:rPr>
        <w:t>3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shd w:fill="auto" w:val="clear"/>
          <w:lang w:val="pl-PL" w:eastAsia="pl-PL" w:bidi="ar-SA"/>
        </w:rPr>
        <w:t>.2024 r.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, w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 xml:space="preserve"> Banku Spółdzielczym Reszel. Na dowodzie wpłaty należy wpisać: wadium na przetarg działki 170 położonej w Kosakowie. Za dzień wniesienia wadium uważa się dzień jego wpływu na w/w konto.</w:t>
      </w:r>
    </w:p>
    <w:p>
      <w:pPr>
        <w:pStyle w:val="Normal"/>
        <w:jc w:val="center"/>
        <w:rPr/>
      </w:pP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pl-PL" w:eastAsia="pl-PL" w:bidi="ar-SA"/>
        </w:rPr>
        <w:t>W przetargu mogą wziąć udział wyłącznie ROLNICY INDYWIDUALNI</w:t>
      </w:r>
    </w:p>
    <w:p>
      <w:pPr>
        <w:pStyle w:val="Normal"/>
        <w:jc w:val="center"/>
        <w:rPr>
          <w:b w:val="false"/>
          <w:b w:val="false"/>
          <w:bCs w:val="false"/>
          <w:sz w:val="21"/>
          <w:szCs w:val="21"/>
        </w:rPr>
      </w:pPr>
      <w:r>
        <w:rPr>
          <w:b w:val="false"/>
          <w:bCs w:val="false"/>
          <w:sz w:val="21"/>
          <w:szCs w:val="21"/>
        </w:rPr>
        <w:t>w rozumieniu przepisów ustawy o kształtowaniu ustroju rolnego, spełniający łącznie poniższe warunki:</w:t>
      </w:r>
    </w:p>
    <w:p>
      <w:pPr>
        <w:pStyle w:val="Normal"/>
        <w:rPr/>
      </w:pPr>
      <w:r>
        <w:rPr/>
        <w:t>1. są właścicielami, użytkownikami wieczystymi, samoistnymi posiadaczami lub dzierżawcami nieruchomości rolnych, których łączna pow. użytków rolnych nie przekracza 300 ha;</w:t>
      </w:r>
    </w:p>
    <w:p>
      <w:pPr>
        <w:pStyle w:val="Normal"/>
        <w:rPr/>
      </w:pPr>
      <w:r>
        <w:rPr/>
        <w:t>2. posiadają kwalifikacje rolnicze określone w art. 6 ust. 2 pkt 2 ustawy o kształtowaniu ustroju rolnego oraz w rozporządzeniu w sprawie k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wali</w:t>
      </w:r>
      <w:r>
        <w:rPr/>
        <w:t>fikacji rolniczych posiadanych przez osoby wykonujące działalność rolniczą;</w:t>
      </w:r>
    </w:p>
    <w:p>
      <w:pPr>
        <w:pStyle w:val="Normal"/>
        <w:rPr/>
      </w:pPr>
      <w:r>
        <w:rPr/>
        <w:t>3. co najmniej od 5 lat zamieszkują w gminie, na obszarze której jest położona jedna z nieruchomości rolnych wchodzących w skład gospodarstwa rolnego;</w:t>
      </w:r>
    </w:p>
    <w:p>
      <w:pPr>
        <w:pStyle w:val="Normal"/>
        <w:rPr/>
      </w:pPr>
      <w:r>
        <w:rPr/>
        <w:t>4. prowadzącą przez okres co najmniej 5 lat osobiście to gospodarstwo- pracują w tym gospodarstwie oraz podejmują wszelkie decyzje dotyczące prowadzenia działalności rolniczej w tym gospodarstwie;</w:t>
      </w:r>
    </w:p>
    <w:p>
      <w:pPr>
        <w:pStyle w:val="Normal"/>
        <w:rPr/>
      </w:pPr>
      <w:r>
        <w:rPr/>
        <w:t>5. mają miejsce zamieszkania w gminie, w której położona jest nieruchomość będąca przedmiotem przetargu lub w gminie graniczącej z tą gminą.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pl-PL" w:eastAsia="pl-PL" w:bidi="ar-SA"/>
        </w:rPr>
        <w:t>Warunkiem zakwalifikowania do uczestnictwa w przetargu jest złożenie przez zainteresowaną osobę, nie później niż do dnia</w:t>
      </w: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pl-PL" w:eastAsia="pl-PL" w:bidi="ar-SA"/>
        </w:rPr>
        <w:t xml:space="preserve"> 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shd w:fill="auto" w:val="clear"/>
          <w:lang w:val="pl-PL" w:eastAsia="pl-PL" w:bidi="ar-SA"/>
        </w:rPr>
        <w:t>04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shd w:fill="auto" w:val="clear"/>
          <w:lang w:val="pl-PL" w:eastAsia="pl-PL" w:bidi="ar-SA"/>
        </w:rPr>
        <w:t>.0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shd w:fill="auto" w:val="clear"/>
          <w:lang w:val="pl-PL" w:eastAsia="pl-PL" w:bidi="ar-SA"/>
        </w:rPr>
        <w:t>3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shd w:fill="auto" w:val="clear"/>
          <w:lang w:val="pl-PL" w:eastAsia="pl-PL" w:bidi="ar-SA"/>
        </w:rPr>
        <w:t>.2024 r. do godz. 15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shd w:fill="auto" w:val="clear"/>
          <w:vertAlign w:val="superscript"/>
          <w:lang w:val="pl-PL" w:eastAsia="pl-PL" w:bidi="ar-SA"/>
        </w:rPr>
        <w:t>00</w:t>
      </w: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pl-PL" w:eastAsia="pl-PL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pl-PL" w:eastAsia="pl-PL" w:bidi="ar-SA"/>
        </w:rPr>
        <w:t xml:space="preserve">w sekretariacie Urzędu Gminy w Srokowie, Plac Rynkowy 1, 11-420 Srokowo, w zamkniętej kopercie z napisem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pl-PL" w:eastAsia="pl-PL" w:bidi="ar-SA"/>
        </w:rPr>
        <w:t>„Przetarg na sprzedaż działki nr 170 położonej w Kosakowie”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pl-PL" w:eastAsia="pl-PL" w:bidi="ar-SA"/>
        </w:rPr>
        <w:t xml:space="preserve"> następujących dokumentów: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pl-PL" w:eastAsia="pl-PL" w:bidi="ar-SA"/>
        </w:rPr>
        <w:t>zgłoszenie uczestnictwa w przetargu ograniczonym;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pl-PL" w:eastAsia="pl-PL" w:bidi="ar-SA"/>
        </w:rPr>
        <w:t>oświadczenie o osobistym prowadzeniu gospodarstwa rolnego oraz łącznej powierzchni użytków rolnych stanowiących własność, użytkowanie wieczyste, będących w samoistnym posiadaniu, dzierżawionych przez rolnika indywidualnego (załącznik nr 1);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pl-PL" w:eastAsia="pl-PL" w:bidi="ar-SA"/>
        </w:rPr>
        <w:t>oświadczenie o posiadaniu odpowiednich kwalifikacji rolniczych oraz oświadczenie o posiadaniu stażu pracy w rolnictwie (załącznik nr 2);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pl-PL" w:eastAsia="pl-PL" w:bidi="ar-SA"/>
        </w:rPr>
        <w:t>dokumenty potwierdzające zameldowanie na pobyt stały (minimum 5 lat)- zaświadczenie o zameldowaniu na pobyt stały;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pl-PL" w:eastAsia="pl-PL" w:bidi="ar-SA"/>
        </w:rPr>
        <w:t>dokumenty potwierdzające posiadanie kwalifikacji rolniczych (kopie świadectw uzyskania wykształcenia rolniczego zasadniczego zawodowego lub średniego lub wyższego);</w:t>
      </w:r>
    </w:p>
    <w:p>
      <w:pPr>
        <w:pStyle w:val="Normal"/>
        <w:numPr>
          <w:ilvl w:val="0"/>
          <w:numId w:val="3"/>
        </w:numPr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pl-PL" w:eastAsia="pl-PL" w:bidi="ar-SA"/>
        </w:rPr>
        <w:t>kserokopię dowodu wpłaty wadium.</w:t>
      </w:r>
    </w:p>
    <w:p>
      <w:pPr>
        <w:pStyle w:val="Normal"/>
        <w:jc w:val="both"/>
        <w:rPr/>
      </w:pPr>
      <w:r>
        <w:rPr>
          <w:rFonts w:eastAsia="Times New Roman" w:cs="Times New Roman"/>
          <w:color w:val="auto"/>
          <w:kern w:val="0"/>
          <w:position w:val="0"/>
          <w:sz w:val="24"/>
          <w:sz w:val="24"/>
          <w:szCs w:val="24"/>
          <w:vertAlign w:val="baseline"/>
          <w:lang w:val="pl-PL" w:eastAsia="pl-PL" w:bidi="ar-SA"/>
        </w:rPr>
        <w:t xml:space="preserve">Komisja przetargowa dokona kwalifikacji oraz poda listę oferentów zakwalifikowanych do udziału w przetargu, która zostanie wywieszona w Urzędzie Gminy Srokowo w dniu  </w:t>
      </w:r>
      <w:r>
        <w:rPr>
          <w:rFonts w:eastAsia="Times New Roman" w:cs="Times New Roman"/>
          <w:b/>
          <w:bCs/>
          <w:color w:val="000000"/>
          <w:kern w:val="0"/>
          <w:position w:val="0"/>
          <w:sz w:val="24"/>
          <w:sz w:val="24"/>
          <w:szCs w:val="24"/>
          <w:shd w:fill="auto" w:val="clear"/>
          <w:vertAlign w:val="baseline"/>
          <w:lang w:val="pl-PL" w:eastAsia="pl-PL" w:bidi="ar-SA"/>
        </w:rPr>
        <w:t>05</w:t>
      </w:r>
      <w:r>
        <w:rPr>
          <w:rFonts w:eastAsia="Times New Roman" w:cs="Times New Roman"/>
          <w:b/>
          <w:bCs/>
          <w:color w:val="000000"/>
          <w:kern w:val="0"/>
          <w:position w:val="0"/>
          <w:sz w:val="24"/>
          <w:sz w:val="24"/>
          <w:szCs w:val="24"/>
          <w:shd w:fill="auto" w:val="clear"/>
          <w:vertAlign w:val="baseline"/>
          <w:lang w:val="pl-PL" w:eastAsia="pl-PL" w:bidi="ar-SA"/>
        </w:rPr>
        <w:t>.0</w:t>
      </w:r>
      <w:r>
        <w:rPr>
          <w:rFonts w:eastAsia="Times New Roman" w:cs="Times New Roman"/>
          <w:b/>
          <w:bCs/>
          <w:color w:val="000000"/>
          <w:kern w:val="0"/>
          <w:position w:val="0"/>
          <w:sz w:val="24"/>
          <w:sz w:val="24"/>
          <w:szCs w:val="24"/>
          <w:shd w:fill="auto" w:val="clear"/>
          <w:vertAlign w:val="baseline"/>
          <w:lang w:val="pl-PL" w:eastAsia="pl-PL" w:bidi="ar-SA"/>
        </w:rPr>
        <w:t>3</w:t>
      </w:r>
      <w:r>
        <w:rPr>
          <w:rFonts w:eastAsia="Times New Roman" w:cs="Times New Roman"/>
          <w:b/>
          <w:bCs/>
          <w:color w:val="000000"/>
          <w:kern w:val="0"/>
          <w:position w:val="0"/>
          <w:sz w:val="24"/>
          <w:sz w:val="24"/>
          <w:szCs w:val="24"/>
          <w:shd w:fill="auto" w:val="clear"/>
          <w:vertAlign w:val="baseline"/>
          <w:lang w:val="pl-PL" w:eastAsia="pl-PL" w:bidi="ar-SA"/>
        </w:rPr>
        <w:t>.2024 r.</w:t>
      </w:r>
    </w:p>
    <w:p>
      <w:pPr>
        <w:pStyle w:val="Normal"/>
        <w:jc w:val="both"/>
        <w:rPr>
          <w:shd w:fill="auto" w:val="clear"/>
        </w:rPr>
      </w:pPr>
      <w:r>
        <w:rPr>
          <w:rFonts w:eastAsia="Times New Roman" w:cs="Times New Roman"/>
          <w:color w:val="000000"/>
          <w:kern w:val="0"/>
          <w:position w:val="0"/>
          <w:sz w:val="24"/>
          <w:sz w:val="24"/>
          <w:szCs w:val="24"/>
          <w:u w:val="single"/>
          <w:shd w:fill="auto" w:val="clear"/>
          <w:vertAlign w:val="baseline"/>
          <w:lang w:val="pl-PL" w:eastAsia="pl-PL" w:bidi="ar-SA"/>
        </w:rPr>
        <w:t>Warunki przetargu:</w:t>
      </w:r>
    </w:p>
    <w:p>
      <w:pPr>
        <w:pStyle w:val="Normal"/>
        <w:numPr>
          <w:ilvl w:val="0"/>
          <w:numId w:val="2"/>
        </w:numPr>
        <w:jc w:val="both"/>
        <w:rPr>
          <w:shd w:fill="auto" w:val="clear"/>
        </w:rPr>
      </w:pPr>
      <w:r>
        <w:rPr>
          <w:rFonts w:eastAsia="Times New Roman" w:cs="Times New Roman"/>
          <w:color w:val="000000"/>
          <w:kern w:val="0"/>
          <w:position w:val="0"/>
          <w:sz w:val="24"/>
          <w:sz w:val="24"/>
          <w:szCs w:val="24"/>
          <w:shd w:fill="auto" w:val="clear"/>
          <w:vertAlign w:val="baseline"/>
          <w:lang w:val="pl-PL" w:eastAsia="pl-PL" w:bidi="ar-SA"/>
        </w:rPr>
        <w:t>Jeżeli nabywana nieruchomość ma wejść skład wspólności majątkowej małżeńskiej wystarczające jest, gdy rolnikiem indywidualnym jest jeden z małżonków.</w:t>
      </w:r>
    </w:p>
    <w:p>
      <w:pPr>
        <w:pStyle w:val="Normal"/>
        <w:numPr>
          <w:ilvl w:val="0"/>
          <w:numId w:val="2"/>
        </w:numPr>
        <w:jc w:val="both"/>
        <w:rPr>
          <w:shd w:fill="auto" w:val="clear"/>
        </w:rPr>
      </w:pPr>
      <w:r>
        <w:rPr>
          <w:rFonts w:eastAsia="Times New Roman" w:cs="Times New Roman"/>
          <w:color w:val="000000"/>
          <w:kern w:val="0"/>
          <w:position w:val="0"/>
          <w:sz w:val="24"/>
          <w:sz w:val="24"/>
          <w:szCs w:val="24"/>
          <w:shd w:fill="auto" w:val="clear"/>
          <w:vertAlign w:val="baseline"/>
          <w:lang w:val="pl-PL" w:eastAsia="pl-PL" w:bidi="ar-SA"/>
        </w:rPr>
        <w:t>Osoby, które w wyżej wymienionym terminie i miejscu nie przedłożą wymaganych dokumentów nie zostaną dopuszczone do uczestnictwa w przetargu.</w:t>
      </w:r>
    </w:p>
    <w:p>
      <w:pPr>
        <w:pStyle w:val="Normal"/>
        <w:numPr>
          <w:ilvl w:val="0"/>
          <w:numId w:val="2"/>
        </w:numPr>
        <w:jc w:val="both"/>
        <w:rPr>
          <w:rFonts w:eastAsia="Times New Roman" w:cs="Times New Roman"/>
          <w:color w:val="000000"/>
          <w:kern w:val="0"/>
          <w:position w:val="0"/>
          <w:sz w:val="24"/>
          <w:sz w:val="24"/>
          <w:szCs w:val="24"/>
          <w:shd w:fill="auto" w:val="clear"/>
          <w:vertAlign w:val="baseline"/>
          <w:lang w:val="pl-PL" w:eastAsia="pl-PL" w:bidi="ar-SA"/>
        </w:rPr>
      </w:pPr>
      <w:r>
        <w:rPr>
          <w:rFonts w:eastAsia="Times New Roman" w:cs="Times New Roman"/>
          <w:color w:val="000000"/>
          <w:kern w:val="0"/>
          <w:position w:val="0"/>
          <w:sz w:val="24"/>
          <w:sz w:val="24"/>
          <w:szCs w:val="24"/>
          <w:shd w:fill="auto" w:val="clear"/>
          <w:vertAlign w:val="baseline"/>
          <w:lang w:val="pl-PL" w:eastAsia="pl-PL" w:bidi="ar-SA"/>
        </w:rPr>
        <w:t>Warunkiem uczestnictwa w przetargu jest okazanie dowodu wpłaty wadium w wysokości jak wyżej oraz dowodu tożsamości uczestnika, a w przypadku osoby prawnej aktualnego dokumentu poświadczającego tożsamość firmy. Uczestnicy biorą udział w przetargu osobiście lub przez pełnomocnika (pełnomocnictwo wymaga formy pisemnej- poświadczonej notarialnie).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eastAsia="Times New Roman" w:cs="Times New Roman"/>
          <w:color w:val="000000"/>
          <w:kern w:val="0"/>
          <w:position w:val="0"/>
          <w:sz w:val="24"/>
          <w:sz w:val="24"/>
          <w:szCs w:val="24"/>
          <w:shd w:fill="auto" w:val="clear"/>
          <w:vertAlign w:val="baseline"/>
          <w:lang w:val="pl-PL" w:eastAsia="pl-PL" w:bidi="ar-SA"/>
        </w:rPr>
        <w:t>W przypadku osób pozostających w związku małżeńskim posiadających ustawową wspólność małżeńską do udziału w przetargu wymagana jest obecność obojga małżonków. W przypadku uczestnictwa w przetargu jednego małżonka należy założyć do akt pisemne oświadczenie współmałżonka o wyrażeniu zgody na przystąpienie małżonka do przetargu z zamiarem nabycia nieruchomości będącej przedmiotem przetargu ze środków pochodzących z majątku wspólnego za cenę ustaloną w przetargu.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eastAsia="Times New Roman" w:cs="Times New Roman"/>
          <w:color w:val="000000"/>
          <w:kern w:val="0"/>
          <w:position w:val="0"/>
          <w:sz w:val="24"/>
          <w:sz w:val="24"/>
          <w:szCs w:val="24"/>
          <w:shd w:fill="auto" w:val="clear"/>
          <w:vertAlign w:val="baseline"/>
          <w:lang w:val="pl-PL" w:eastAsia="pl-PL" w:bidi="ar-SA"/>
        </w:rPr>
        <w:t>O wysokości postąpienia decydują uczestnicy przetargu z tym, że  minimalne postąpienie nie może wynosić mniej niż 1% ceny wywoławczej, z zaokrągleniem w górę do pełnych złotych.</w:t>
      </w:r>
    </w:p>
    <w:p>
      <w:pPr>
        <w:pStyle w:val="Normal"/>
        <w:numPr>
          <w:ilvl w:val="0"/>
          <w:numId w:val="2"/>
        </w:numPr>
        <w:jc w:val="both"/>
        <w:rPr>
          <w:rFonts w:eastAsia="Times New Roman" w:cs="Times New Roman"/>
          <w:color w:val="000000"/>
          <w:kern w:val="0"/>
          <w:position w:val="0"/>
          <w:sz w:val="24"/>
          <w:sz w:val="24"/>
          <w:szCs w:val="24"/>
          <w:shd w:fill="auto" w:val="clear"/>
          <w:vertAlign w:val="baseline"/>
          <w:lang w:val="pl-PL" w:eastAsia="pl-PL" w:bidi="ar-SA"/>
        </w:rPr>
      </w:pPr>
      <w:r>
        <w:rPr>
          <w:rFonts w:eastAsia="Times New Roman" w:cs="Times New Roman"/>
          <w:color w:val="000000"/>
          <w:kern w:val="0"/>
          <w:position w:val="0"/>
          <w:sz w:val="24"/>
          <w:sz w:val="24"/>
          <w:szCs w:val="24"/>
          <w:shd w:fill="auto" w:val="clear"/>
          <w:vertAlign w:val="baseline"/>
          <w:lang w:val="pl-PL" w:eastAsia="pl-PL" w:bidi="ar-SA"/>
        </w:rPr>
        <w:t>Przetarg będzie ważny bez względu na liczbę uczestników, jeżeli przynajmniej jeden uczestnik zaoferuje, co najmniej jedno postąpienie powyżej ceny wywoławczej.</w:t>
      </w:r>
    </w:p>
    <w:p>
      <w:pPr>
        <w:pStyle w:val="Normal"/>
        <w:numPr>
          <w:ilvl w:val="0"/>
          <w:numId w:val="2"/>
        </w:numPr>
        <w:jc w:val="both"/>
        <w:rPr>
          <w:rFonts w:eastAsia="Times New Roman" w:cs="Times New Roman"/>
          <w:color w:val="000000"/>
          <w:kern w:val="0"/>
          <w:position w:val="0"/>
          <w:sz w:val="24"/>
          <w:sz w:val="24"/>
          <w:szCs w:val="24"/>
          <w:shd w:fill="auto" w:val="clear"/>
          <w:vertAlign w:val="baseline"/>
          <w:lang w:val="pl-PL" w:eastAsia="pl-PL" w:bidi="ar-SA"/>
        </w:rPr>
      </w:pPr>
      <w:r>
        <w:rPr>
          <w:rFonts w:eastAsia="Times New Roman" w:cs="Times New Roman"/>
          <w:color w:val="000000"/>
          <w:kern w:val="0"/>
          <w:position w:val="0"/>
          <w:sz w:val="24"/>
          <w:sz w:val="24"/>
          <w:szCs w:val="24"/>
          <w:shd w:fill="auto" w:val="clear"/>
          <w:vertAlign w:val="baseline"/>
          <w:lang w:val="pl-PL" w:eastAsia="pl-PL" w:bidi="ar-SA"/>
        </w:rPr>
        <w:t>Osiągnięta w wyniku przetargu cena nieruchomości podlega zapłacie nie później niż do dnia zawarcia umowy notarialnej. Wadium wpłacone przez uczestnika przetargu, który przetarg wygrał, zalicza się na poczet ceny nabycia.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eastAsia="Times New Roman" w:cs="Times New Roman"/>
          <w:color w:val="000000"/>
          <w:kern w:val="0"/>
          <w:position w:val="0"/>
          <w:sz w:val="24"/>
          <w:sz w:val="24"/>
          <w:szCs w:val="24"/>
          <w:shd w:fill="auto" w:val="clear"/>
          <w:vertAlign w:val="baseline"/>
          <w:lang w:val="pl-PL" w:eastAsia="pl-PL" w:bidi="ar-SA"/>
        </w:rPr>
        <w:t>Wadium ulega przepadkowi w razie wygrania przetargu i nie przystąpienia do zawarcia aktu notarialnego. Uczestnikom, którzy nie wygrają przetargu, wadium zostanie zwrócone.</w:t>
      </w:r>
    </w:p>
    <w:p>
      <w:pPr>
        <w:pStyle w:val="Normal"/>
        <w:jc w:val="both"/>
        <w:rPr>
          <w:u w:val="single"/>
        </w:rPr>
      </w:pPr>
      <w:r>
        <w:rPr>
          <w:rFonts w:eastAsia="Times New Roman" w:cs="Times New Roman"/>
          <w:color w:val="000000"/>
          <w:kern w:val="0"/>
          <w:position w:val="0"/>
          <w:sz w:val="24"/>
          <w:sz w:val="24"/>
          <w:szCs w:val="24"/>
          <w:u w:val="single"/>
          <w:shd w:fill="auto" w:val="clear"/>
          <w:vertAlign w:val="baseline"/>
          <w:lang w:val="pl-PL" w:eastAsia="pl-PL" w:bidi="ar-SA"/>
        </w:rPr>
        <w:t>Informacje dodatkowe: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eastAsia="Times New Roman" w:cs="Times New Roman"/>
          <w:color w:val="000000"/>
          <w:kern w:val="0"/>
          <w:position w:val="0"/>
          <w:sz w:val="24"/>
          <w:sz w:val="24"/>
          <w:szCs w:val="24"/>
          <w:shd w:fill="auto" w:val="clear"/>
          <w:vertAlign w:val="baseline"/>
          <w:lang w:val="pl-PL" w:eastAsia="pl-PL" w:bidi="ar-SA"/>
        </w:rPr>
        <w:t>Nabywca ponosi koszty notarialne i sądowe.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eastAsia="Times New Roman" w:cs="Times New Roman"/>
          <w:color w:val="000000"/>
          <w:kern w:val="0"/>
          <w:position w:val="0"/>
          <w:sz w:val="24"/>
          <w:sz w:val="24"/>
          <w:szCs w:val="24"/>
          <w:shd w:fill="auto" w:val="clear"/>
          <w:vertAlign w:val="baseline"/>
          <w:lang w:val="pl-PL" w:eastAsia="pl-PL" w:bidi="ar-SA"/>
        </w:rPr>
        <w:t>W przypadku konieczności okazania lub wznowienia granic nieruchomości, koszty ponosi nabywca. W sytuacji wznowienia granic, wykonanego na koszt nabywcy- gmina nie bierze odpowiedzialności za ewentualne różnice.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eastAsia="Times New Roman" w:cs="Times New Roman"/>
          <w:color w:val="000000"/>
          <w:kern w:val="0"/>
          <w:position w:val="0"/>
          <w:sz w:val="24"/>
          <w:sz w:val="24"/>
          <w:szCs w:val="24"/>
          <w:shd w:fill="auto" w:val="clear"/>
          <w:vertAlign w:val="baseline"/>
          <w:lang w:val="pl-PL" w:eastAsia="pl-PL" w:bidi="ar-SA"/>
        </w:rPr>
        <w:t>Organizator przetargu zawiadomi osobę ustaloną jako nabywca nieruchomości o terminie i miejscu zawarcia umowy sprzedaży w formie aktu notarialnego, najpóźniej w terminie 30 dni od dnia rozstrzygnięcia przetargu.</w:t>
      </w:r>
    </w:p>
    <w:p>
      <w:pPr>
        <w:pStyle w:val="Normal"/>
        <w:numPr>
          <w:ilvl w:val="0"/>
          <w:numId w:val="1"/>
        </w:numPr>
        <w:jc w:val="both"/>
        <w:rPr>
          <w:shd w:fill="auto" w:val="clear"/>
        </w:rPr>
      </w:pPr>
      <w:r>
        <w:rPr>
          <w:rFonts w:eastAsia="Times New Roman" w:cs="Times New Roman"/>
          <w:color w:val="000000"/>
          <w:kern w:val="0"/>
          <w:position w:val="0"/>
          <w:sz w:val="24"/>
          <w:sz w:val="24"/>
          <w:szCs w:val="24"/>
          <w:shd w:fill="auto" w:val="clear"/>
          <w:vertAlign w:val="baseline"/>
          <w:lang w:val="pl-PL" w:eastAsia="pl-PL" w:bidi="ar-SA"/>
        </w:rPr>
        <w:t xml:space="preserve">Wójt Gminy Srokowo może odwołać przetarg z uzasadnionej przyczyny, informując o tym niezwłocznie odrębnym ogłoszeniem.                               </w:t>
      </w:r>
    </w:p>
    <w:p>
      <w:pPr>
        <w:pStyle w:val="Normal"/>
        <w:jc w:val="both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 xml:space="preserve">Ogłoszenie o przetargu podaje 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 xml:space="preserve">się do publicznej wiadomości w dniach od 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01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.0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2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 xml:space="preserve">.2024 r. do 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29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.02.2024 r.</w:t>
      </w:r>
    </w:p>
    <w:p>
      <w:pPr>
        <w:pStyle w:val="Normal"/>
        <w:jc w:val="both"/>
        <w:rPr>
          <w:shd w:fill="auto" w:val="clear"/>
        </w:rPr>
      </w:pP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 xml:space="preserve">Szczegółowe informacje na temat przetargu można uzyskać w Urzędzie Gminy w Srokowie, Plac Rynkowy 1, tel: 0 89-754 45 24. </w:t>
      </w:r>
      <w:r>
        <w:rPr/>
        <w:t xml:space="preserve">             </w:t>
      </w:r>
    </w:p>
    <w:p>
      <w:pPr>
        <w:pStyle w:val="Normal"/>
        <w:spacing w:before="57" w:after="57"/>
        <w:rPr/>
      </w:pPr>
      <w:r>
        <w:rPr/>
        <w:tab/>
        <w:tab/>
        <w:tab/>
        <w:tab/>
        <w:tab/>
        <w:tab/>
        <w:t xml:space="preserve">                    Wójt Gminy Srokowo</w:t>
      </w:r>
    </w:p>
    <w:p>
      <w:pPr>
        <w:pStyle w:val="Normal"/>
        <w:spacing w:before="57" w:after="57"/>
        <w:rPr/>
      </w:pPr>
      <w:r>
        <w:rPr/>
        <w:t xml:space="preserve">                                                                                                </w:t>
      </w:r>
      <w:r>
        <w:rPr/>
        <w:t xml:space="preserve">Marek Olszewski                                                        </w:t>
      </w:r>
    </w:p>
    <w:sectPr>
      <w:type w:val="nextPage"/>
      <w:pgSz w:w="11906" w:h="16838"/>
      <w:pgMar w:left="1417" w:right="1417" w:header="0" w:top="1417" w:footer="0" w:bottom="90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Garamond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harterITCPro-Regular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425" w:hanging="25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425" w:hanging="25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425" w:hanging="25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2" w:uiPriority="0"/>
    <w:lsdException w:name="Body Text 3" w:uiPriority="0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4093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ee20ec"/>
    <w:pPr>
      <w:keepNext w:val="true"/>
      <w:ind w:firstLine="5940"/>
      <w:outlineLvl w:val="0"/>
    </w:pPr>
    <w:rPr>
      <w:b/>
      <w:bCs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ba7e2b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Heading 3"/>
    <w:basedOn w:val="Normal"/>
    <w:next w:val="Normal"/>
    <w:link w:val="Nagwek3Znak"/>
    <w:semiHidden/>
    <w:unhideWhenUsed/>
    <w:qFormat/>
    <w:rsid w:val="00d77bb2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Nagwek4">
    <w:name w:val="Heading 4"/>
    <w:basedOn w:val="Normal"/>
    <w:next w:val="Normal"/>
    <w:link w:val="Nagwek4Znak"/>
    <w:uiPriority w:val="9"/>
    <w:semiHidden/>
    <w:unhideWhenUsed/>
    <w:qFormat/>
    <w:rsid w:val="00417231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417231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Nagwek6">
    <w:name w:val="Heading 6"/>
    <w:basedOn w:val="Normal"/>
    <w:next w:val="Normal"/>
    <w:link w:val="Nagwek6Znak"/>
    <w:uiPriority w:val="9"/>
    <w:semiHidden/>
    <w:unhideWhenUsed/>
    <w:qFormat/>
    <w:rsid w:val="009869b6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9869b6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ee20ec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6f6a90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6f6a90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ZwykytekstZnak" w:customStyle="1">
    <w:name w:val="Zwykły tekst Znak"/>
    <w:basedOn w:val="DefaultParagraphFont"/>
    <w:link w:val="Zwykytekst"/>
    <w:qFormat/>
    <w:rsid w:val="00b01b4c"/>
    <w:rPr>
      <w:rFonts w:ascii="Courier New" w:hAnsi="Courier New" w:eastAsia="Lucida Sans Unicode" w:cs="Tahoma"/>
      <w:kern w:val="2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b076d9"/>
    <w:rPr>
      <w:b/>
      <w:bCs/>
    </w:rPr>
  </w:style>
  <w:style w:type="character" w:styleId="Articletitle" w:customStyle="1">
    <w:name w:val="articletitle"/>
    <w:qFormat/>
    <w:rsid w:val="00c63131"/>
    <w:rPr/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417231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  <w:lang w:eastAsia="pl-PL"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417231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eastAsia="pl-PL"/>
    </w:rPr>
  </w:style>
  <w:style w:type="character" w:styleId="Nagwek3Znak" w:customStyle="1">
    <w:name w:val="Nagłówek 3 Znak"/>
    <w:basedOn w:val="DefaultParagraphFont"/>
    <w:link w:val="Nagwek3"/>
    <w:semiHidden/>
    <w:qFormat/>
    <w:rsid w:val="00d77bb2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eastAsia="pl-PL"/>
    </w:rPr>
  </w:style>
  <w:style w:type="character" w:styleId="Czeinternetowe">
    <w:name w:val="Łącze internetowe"/>
    <w:basedOn w:val="DefaultParagraphFont"/>
    <w:uiPriority w:val="99"/>
    <w:semiHidden/>
    <w:unhideWhenUsed/>
    <w:rsid w:val="00d77bb2"/>
    <w:rPr>
      <w:color w:val="0000FF" w:themeColor="hyperlink"/>
      <w:u w:val="single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d77bb2"/>
    <w:rPr>
      <w:color w:val="800080" w:themeColor="followed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56741"/>
    <w:rPr>
      <w:rFonts w:ascii="Tahoma" w:hAnsi="Tahoma" w:eastAsia="Times New Roman" w:cs="Tahoma"/>
      <w:sz w:val="16"/>
      <w:szCs w:val="16"/>
      <w:lang w:eastAsia="pl-PL"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9869b6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  <w:lang w:eastAsia="pl-PL"/>
    </w:rPr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9869b6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4"/>
      <w:szCs w:val="24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9869b6"/>
    <w:rPr>
      <w:rFonts w:ascii="Garamond" w:hAnsi="Garamond" w:eastAsia="Times New Roman" w:cs="Times New Roman"/>
      <w:sz w:val="20"/>
      <w:szCs w:val="20"/>
      <w:lang w:eastAsia="ar-SA"/>
    </w:rPr>
  </w:style>
  <w:style w:type="character" w:styleId="TekstpodstawowywcityZnak" w:customStyle="1">
    <w:name w:val="Tekst podstawowy wcięty Znak"/>
    <w:basedOn w:val="DefaultParagraphFont"/>
    <w:link w:val="Tekstpodstawowywcity"/>
    <w:semiHidden/>
    <w:qFormat/>
    <w:rsid w:val="009869b6"/>
    <w:rPr>
      <w:rFonts w:ascii="Bookman Old Style" w:hAnsi="Bookman Old Style" w:eastAsia="Times New Roman" w:cs="Times New Roman"/>
      <w:sz w:val="20"/>
      <w:szCs w:val="21"/>
      <w:lang w:eastAsia="ar-SA"/>
    </w:rPr>
  </w:style>
  <w:style w:type="character" w:styleId="Tekstpodstawowy2Znak" w:customStyle="1">
    <w:name w:val="Tekst podstawowy 2 Znak"/>
    <w:basedOn w:val="DefaultParagraphFont"/>
    <w:link w:val="Tekstpodstawowy2"/>
    <w:semiHidden/>
    <w:qFormat/>
    <w:rsid w:val="009869b6"/>
    <w:rPr>
      <w:rFonts w:ascii="Bookman Old Style" w:hAnsi="Bookman Old Style" w:eastAsia="Times New Roman" w:cs="Times New Roman"/>
      <w:b/>
      <w:sz w:val="20"/>
      <w:szCs w:val="21"/>
      <w:lang w:eastAsia="ar-SA"/>
    </w:rPr>
  </w:style>
  <w:style w:type="character" w:styleId="Tekstpodstawowy3Znak" w:customStyle="1">
    <w:name w:val="Tekst podstawowy 3 Znak"/>
    <w:basedOn w:val="DefaultParagraphFont"/>
    <w:link w:val="Tekstpodstawowy3"/>
    <w:semiHidden/>
    <w:qFormat/>
    <w:rsid w:val="009869b6"/>
    <w:rPr>
      <w:rFonts w:ascii="Bookman Old Style" w:hAnsi="Bookman Old Style" w:eastAsia="Times New Roman" w:cs="Times New Roman"/>
      <w:sz w:val="20"/>
      <w:szCs w:val="21"/>
      <w:lang w:eastAsia="ar-SA"/>
    </w:rPr>
  </w:style>
  <w:style w:type="character" w:styleId="Tekstpodstawowywcity2Znak" w:customStyle="1">
    <w:name w:val="Tekst podstawowy wcięty 2 Znak"/>
    <w:basedOn w:val="DefaultParagraphFont"/>
    <w:link w:val="Tekstpodstawowywcity2"/>
    <w:semiHidden/>
    <w:qFormat/>
    <w:rsid w:val="009869b6"/>
    <w:rPr>
      <w:rFonts w:ascii="Bookman Old Style" w:hAnsi="Bookman Old Style" w:eastAsia="Times New Roman" w:cs="Times New Roman"/>
      <w:color w:val="FF0000"/>
      <w:sz w:val="20"/>
      <w:szCs w:val="21"/>
      <w:lang w:eastAsia="ar-SA"/>
    </w:rPr>
  </w:style>
  <w:style w:type="character" w:styleId="TekstpodstawowyZnak" w:customStyle="1">
    <w:name w:val="Tekst podstawowy Znak"/>
    <w:basedOn w:val="DefaultParagraphFont"/>
    <w:link w:val="Tekstpodstawowy"/>
    <w:qFormat/>
    <w:rsid w:val="009869b6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ytuZnak" w:customStyle="1">
    <w:name w:val="Tytuł Znak"/>
    <w:basedOn w:val="DefaultParagraphFont"/>
    <w:link w:val="Tytu"/>
    <w:qFormat/>
    <w:rsid w:val="00670794"/>
    <w:rPr>
      <w:rFonts w:ascii="Arial" w:hAnsi="Arial" w:eastAsia="Times New Roman" w:cs="Times New Roman"/>
      <w:b/>
      <w:sz w:val="32"/>
      <w:szCs w:val="20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ba7e2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pl-PL"/>
    </w:rPr>
  </w:style>
  <w:style w:type="character" w:styleId="St" w:customStyle="1">
    <w:name w:val="st"/>
    <w:basedOn w:val="DefaultParagraphFont"/>
    <w:qFormat/>
    <w:rsid w:val="000f0a65"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nhideWhenUsed/>
    <w:rsid w:val="009869b6"/>
    <w:pPr>
      <w:spacing w:before="0" w:after="120"/>
    </w:pPr>
    <w:rPr/>
  </w:style>
  <w:style w:type="paragraph" w:styleId="Lista">
    <w:name w:val="List"/>
    <w:basedOn w:val="Tretekstu"/>
    <w:semiHidden/>
    <w:unhideWhenUsed/>
    <w:rsid w:val="009869b6"/>
    <w:pPr>
      <w:suppressAutoHyphens w:val="true"/>
    </w:pPr>
    <w:rPr>
      <w:rFonts w:ascii="Garamond" w:hAnsi="Garamond" w:cs="Tahoma"/>
      <w:lang w:eastAsia="ar-S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f6a9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6f6a9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andard" w:customStyle="1">
    <w:name w:val="Standard"/>
    <w:qFormat/>
    <w:rsid w:val="00b01b4c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pl-PL" w:bidi="ar-SA"/>
    </w:rPr>
  </w:style>
  <w:style w:type="paragraph" w:styleId="PlainText">
    <w:name w:val="Plain Text"/>
    <w:basedOn w:val="Standard"/>
    <w:link w:val="ZwykytekstZnak"/>
    <w:unhideWhenUsed/>
    <w:qFormat/>
    <w:rsid w:val="00b01b4c"/>
    <w:pPr/>
    <w:rPr>
      <w:rFonts w:ascii="Courier New" w:hAnsi="Courier New"/>
    </w:rPr>
  </w:style>
  <w:style w:type="paragraph" w:styleId="NormalWeb">
    <w:name w:val="Normal (Web)"/>
    <w:basedOn w:val="Normal"/>
    <w:uiPriority w:val="99"/>
    <w:unhideWhenUsed/>
    <w:qFormat/>
    <w:rsid w:val="00b076d9"/>
    <w:pPr>
      <w:spacing w:beforeAutospacing="1" w:afterAutospacing="1"/>
    </w:pPr>
    <w:rPr/>
  </w:style>
  <w:style w:type="paragraph" w:styleId="Zawartotabeli" w:customStyle="1">
    <w:name w:val="Zawartość tabeli"/>
    <w:basedOn w:val="Standard"/>
    <w:qFormat/>
    <w:rsid w:val="0090790b"/>
    <w:pPr>
      <w:suppressLineNumbers/>
    </w:pPr>
    <w:rPr>
      <w:rFonts w:cs="Mangal"/>
      <w:lang w:eastAsia="zh-CN" w:bidi="hi-IN"/>
    </w:rPr>
  </w:style>
  <w:style w:type="paragraph" w:styleId="WZORtekstWZOR" w:customStyle="1">
    <w:name w:val="WZOR tekst (WZOR)"/>
    <w:basedOn w:val="Normal"/>
    <w:qFormat/>
    <w:rsid w:val="00c63131"/>
    <w:pPr>
      <w:widowControl w:val="false"/>
      <w:suppressAutoHyphens w:val="true"/>
      <w:spacing w:lineRule="auto" w:line="288" w:before="28" w:after="28"/>
      <w:jc w:val="both"/>
    </w:pPr>
    <w:rPr>
      <w:rFonts w:ascii="CharterITCPro-Regular" w:hAnsi="CharterITCPro-Regular" w:cs="CharterITCPro-Regular"/>
      <w:color w:val="000000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2d197e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d77bb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56741"/>
    <w:pPr/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link w:val="TekstprzypisudolnegoZnak"/>
    <w:unhideWhenUsed/>
    <w:rsid w:val="009869b6"/>
    <w:pPr>
      <w:suppressAutoHyphens w:val="true"/>
    </w:pPr>
    <w:rPr>
      <w:rFonts w:ascii="Garamond" w:hAnsi="Garamond"/>
      <w:sz w:val="20"/>
      <w:szCs w:val="20"/>
      <w:lang w:eastAsia="ar-SA"/>
    </w:rPr>
  </w:style>
  <w:style w:type="paragraph" w:styleId="Wcicietrecitekstu">
    <w:name w:val="Body Text Indent"/>
    <w:basedOn w:val="Normal"/>
    <w:link w:val="TekstpodstawowywcityZnak"/>
    <w:semiHidden/>
    <w:unhideWhenUsed/>
    <w:rsid w:val="009869b6"/>
    <w:pPr>
      <w:suppressAutoHyphens w:val="true"/>
      <w:spacing w:lineRule="auto" w:line="360"/>
      <w:ind w:left="374" w:hanging="0"/>
    </w:pPr>
    <w:rPr>
      <w:rFonts w:ascii="Bookman Old Style" w:hAnsi="Bookman Old Style"/>
      <w:sz w:val="20"/>
      <w:szCs w:val="21"/>
      <w:lang w:eastAsia="ar-SA"/>
    </w:rPr>
  </w:style>
  <w:style w:type="paragraph" w:styleId="BodyText2">
    <w:name w:val="Body Text 2"/>
    <w:basedOn w:val="Normal"/>
    <w:link w:val="Tekstpodstawowy2Znak"/>
    <w:semiHidden/>
    <w:unhideWhenUsed/>
    <w:qFormat/>
    <w:rsid w:val="009869b6"/>
    <w:pPr>
      <w:suppressAutoHyphens w:val="true"/>
      <w:jc w:val="center"/>
    </w:pPr>
    <w:rPr>
      <w:rFonts w:ascii="Bookman Old Style" w:hAnsi="Bookman Old Style"/>
      <w:b/>
      <w:sz w:val="20"/>
      <w:szCs w:val="21"/>
      <w:lang w:eastAsia="ar-SA"/>
    </w:rPr>
  </w:style>
  <w:style w:type="paragraph" w:styleId="BodyText3">
    <w:name w:val="Body Text 3"/>
    <w:basedOn w:val="Normal"/>
    <w:link w:val="Tekstpodstawowy3Znak"/>
    <w:semiHidden/>
    <w:unhideWhenUsed/>
    <w:qFormat/>
    <w:rsid w:val="009869b6"/>
    <w:pPr>
      <w:suppressAutoHyphens w:val="true"/>
      <w:spacing w:lineRule="auto" w:line="360" w:before="120" w:after="0"/>
      <w:jc w:val="both"/>
    </w:pPr>
    <w:rPr>
      <w:rFonts w:ascii="Bookman Old Style" w:hAnsi="Bookman Old Style"/>
      <w:sz w:val="20"/>
      <w:szCs w:val="21"/>
      <w:lang w:eastAsia="ar-SA"/>
    </w:rPr>
  </w:style>
  <w:style w:type="paragraph" w:styleId="BodyTextIndent2">
    <w:name w:val="Body Text Indent 2"/>
    <w:basedOn w:val="Normal"/>
    <w:link w:val="Tekstpodstawowywcity2Znak"/>
    <w:semiHidden/>
    <w:unhideWhenUsed/>
    <w:qFormat/>
    <w:rsid w:val="009869b6"/>
    <w:pPr>
      <w:suppressAutoHyphens w:val="true"/>
      <w:spacing w:lineRule="auto" w:line="360"/>
      <w:ind w:left="374" w:hanging="0"/>
    </w:pPr>
    <w:rPr>
      <w:rFonts w:ascii="Bookman Old Style" w:hAnsi="Bookman Old Style"/>
      <w:color w:val="FF0000"/>
      <w:sz w:val="20"/>
      <w:szCs w:val="21"/>
      <w:lang w:eastAsia="ar-SA"/>
    </w:rPr>
  </w:style>
  <w:style w:type="paragraph" w:styleId="WWTekstdymka" w:customStyle="1">
    <w:name w:val="WW-Tekst dymka"/>
    <w:basedOn w:val="Normal"/>
    <w:qFormat/>
    <w:rsid w:val="009869b6"/>
    <w:pPr>
      <w:suppressAutoHyphens w:val="true"/>
    </w:pPr>
    <w:rPr>
      <w:rFonts w:ascii="Tahoma" w:hAnsi="Tahoma" w:cs="Tahoma"/>
      <w:sz w:val="16"/>
      <w:szCs w:val="16"/>
      <w:lang w:eastAsia="ar-SA"/>
    </w:rPr>
  </w:style>
  <w:style w:type="paragraph" w:styleId="Tabela" w:customStyle="1">
    <w:name w:val="Tabela"/>
    <w:next w:val="Normal"/>
    <w:qFormat/>
    <w:rsid w:val="009869b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0"/>
      <w:szCs w:val="20"/>
      <w:lang w:val="pl-PL" w:eastAsia="pl-PL" w:bidi="ar-SA"/>
    </w:rPr>
  </w:style>
  <w:style w:type="paragraph" w:styleId="Akapitzlist1" w:customStyle="1">
    <w:name w:val="Akapit z listą1"/>
    <w:basedOn w:val="Normal"/>
    <w:qFormat/>
    <w:rsid w:val="008960ea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"/>
    <w:link w:val="TytuZnak"/>
    <w:qFormat/>
    <w:rsid w:val="00670794"/>
    <w:pPr>
      <w:jc w:val="center"/>
    </w:pPr>
    <w:rPr>
      <w:rFonts w:ascii="Arial" w:hAnsi="Arial"/>
      <w:b/>
      <w:sz w:val="32"/>
      <w:szCs w:val="20"/>
    </w:rPr>
  </w:style>
  <w:style w:type="paragraph" w:styleId="Default" w:customStyle="1">
    <w:name w:val="Default"/>
    <w:qFormat/>
    <w:rsid w:val="000f0a65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  <w:rsid w:val="00b01b4c"/>
  </w:style>
  <w:style w:type="numbering" w:styleId="WW8Num1" w:customStyle="1">
    <w:name w:val="WW8Num1"/>
    <w:qFormat/>
    <w:rsid w:val="002d197e"/>
  </w:style>
  <w:style w:type="numbering" w:styleId="WW8Num11" w:customStyle="1">
    <w:name w:val="WW8Num11"/>
    <w:qFormat/>
    <w:rsid w:val="00a70a29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41f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5F998-01DB-46AB-BCBE-DB13BCECC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Application>LibreOffice/7.1.3.2$Windows_X86_64 LibreOffice_project/47f78053abe362b9384784d31a6e56f8511eb1c1</Application>
  <AppVersion>15.0000</AppVersion>
  <Pages>2</Pages>
  <Words>940</Words>
  <Characters>5829</Characters>
  <CharactersWithSpaces>7113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2018-08-01T11:36:00Z</dcterms:created>
  <dc:creator>olszewski</dc:creator>
  <dc:description/>
  <dc:language>pl-PL</dc:language>
  <cp:lastModifiedBy/>
  <cp:lastPrinted>2021-08-16T08:56:00Z</cp:lastPrinted>
  <dcterms:modified xsi:type="dcterms:W3CDTF">2024-01-30T07:00:25Z</dcterms:modified>
  <cp:revision>88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