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31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657/1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28 500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2 850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1955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 xml:space="preserve">Wyceniana nieruchomość składa się z jednej działki ewidencyjnej tworzącej nieregularny kształt. Działka charakteryzuje się płaskim ukształtowaniem terenu.  Teren działki porośnięty zakrzewieniami i roślinnością charakterystyczną dla terenów podmokłych. Przez północny fragment działki przepływa rzeka Omet. W pobliżu tego miejsca znajduje się tama wybudowana przez bobry, która spowodowała skumulowanie wody na terenie działki w jej północnej części. 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Dojazd do nieruchomości zapewniony jest od strony południowej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>W odległości około 220 m w kierunku południowym, w obszarze ulicy Barciańskiej, biegną sieci uzbrojenia terenu (gazowa, kanalizacyjna, energetyczna, wodociągowa, telekomunikacyjna).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zawarcia umowy kupna-sprzedaży</w:t>
      </w:r>
      <w:r>
        <w:rPr/>
        <w:t xml:space="preserve">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LibreOffice/7.1.3.2$Windows_X86_64 LibreOffice_project/47f78053abe362b9384784d31a6e56f8511eb1c1</Application>
  <AppVersion>15.0000</AppVersion>
  <Pages>1</Pages>
  <Words>311</Words>
  <Characters>1959</Characters>
  <CharactersWithSpaces>2875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2021-12-17T07:48:28Z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