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657/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  <w:r>
        <w:rPr>
          <w:b/>
          <w:shd w:fill="auto" w:val="clear"/>
        </w:rPr>
        <w:t xml:space="preserve">.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34 600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3 460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1318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Wyceniana nieruchomość składa się z jednej działki ewidencyjnej tworzącej regularny kształt zbliżony do prostokąta. Działka charakteryzuje się płaskim ukształtowaniem terenu, z lekkim spadkiem w kierunku północnym - w stronę rzeki Omet.  Teren działki porośnięty drzewami liściastymi. Dojazd do nieruchomości zapewniony jest od strony zachodniej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>W odległości około 170 m w kierunku południowym, w obszarze ulicy Barciańskiej, biegną sieci uzbrojenia terenu (gazowa, kanalizacyjna, energetyczna, wodociągowa, telekomunikacyjna).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14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8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12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zaokrągleniem w górę do pełnych dziesiątek złotych. Osobie, która wygra przetarg lecz uchyli się od za</w:t>
      </w:r>
      <w:r>
        <w:rPr/>
        <w:t>warcia umowy kupna-sprzedaży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LibreOffice/7.1.3.2$Windows_X86_64 LibreOffice_project/47f78053abe362b9384784d31a6e56f8511eb1c1</Application>
  <AppVersion>15.0000</AppVersion>
  <Pages>1</Pages>
  <Words>292</Words>
  <Characters>1812</Characters>
  <CharactersWithSpaces>2708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2021-12-17T08:07:23Z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