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shd w:fill="auto" w:val="clear"/>
        </w:rPr>
        <w:t>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05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2 </w:t>
      </w:r>
      <w:r>
        <w:rPr>
          <w:shd w:fill="auto" w:val="clear"/>
        </w:rPr>
        <w:t>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860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20.700,00</w:t>
      </w:r>
      <w:r>
        <w:rPr>
          <w:b/>
          <w:shd w:fill="auto" w:val="clear"/>
          <w:lang w:eastAsia="en-US"/>
        </w:rPr>
        <w:t xml:space="preserve">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2.070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Nieruchomość nie jest przedmiotem zobowiązań i jest wolna od obciążeń.                          Powierzchnia działki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0,0336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00013542/4.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 xml:space="preserve">Wyceniana nieruchomość składa się z jednej działki ewidencyjnej tworzącej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regularny, nieco wydłużony kształt zbliżony do prostokąta – wymiary przybliżone to: 11 m szerokość, 30 m długość. Działka charakteryzuje się płaskim ukształtowaniem terenu. Na terenie parceli brak zabudowań. Ogrodzenie częściowe- od strony północnej, wschodniej i południowej ogrodzenie wykonane z siatki stalowej na słupkach, od strony zachodniej brak ogrodzenia (działka połączona jest ogrodzeniem z działką nr 859). Bramka wejściowa od strony ul. Wileńskiej. Drzewostan liściasty rozmieszczony nierównomiernie na terenie działki- głównie w jej południowej części. Przy działce przebiega sieć wodociągowa, kanalizacyjna, energetyczna, gazowa oraz telekomunikacyjna.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 xml:space="preserve">Przetarg odbędzie się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zawarcia umowy kupna-sprzedaży</w:t>
      </w:r>
      <w:r>
        <w:rPr/>
        <w:t xml:space="preserve">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06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05</w:t>
      </w:r>
      <w:r>
        <w:rPr>
          <w:b/>
        </w:rPr>
        <w:t>.20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22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LibreOffice/7.1.3.2$Windows_X86_64 LibreOffice_project/47f78053abe362b9384784d31a6e56f8511eb1c1</Application>
  <AppVersion>15.0000</AppVersion>
  <Pages>1</Pages>
  <Words>295</Words>
  <Characters>1871</Characters>
  <CharactersWithSpaces>2772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2022-04-13T12:15:41Z</cp:lastPrinted>
  <dcterms:modified xsi:type="dcterms:W3CDTF">2022-05-04T07:38:26Z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