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17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3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23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11</w:t>
      </w:r>
      <w:r>
        <w:rPr>
          <w:rFonts w:eastAsia="Times New Roman" w:cs="Times New Roman"/>
          <w:sz w:val="24"/>
          <w:szCs w:val="24"/>
          <w:lang w:eastAsia="pl-PL"/>
        </w:rPr>
        <w:t>.2023</w:t>
      </w:r>
      <w:r>
        <w:rPr/>
        <w:t xml:space="preserve"> r.</w:t>
      </w:r>
    </w:p>
    <w:p>
      <w:pPr>
        <w:pStyle w:val="Normal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                                             </w:t>
      </w:r>
      <w:r>
        <w:rPr>
          <w:b/>
          <w:sz w:val="28"/>
          <w:szCs w:val="28"/>
        </w:rPr>
        <w:t>WÓJT GMINY SROKOWO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OGŁASZA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 xml:space="preserve">pierwszy </w:t>
      </w:r>
      <w:r>
        <w:rPr>
          <w:b w:val="false"/>
          <w:bCs w:val="false"/>
        </w:rPr>
        <w:t xml:space="preserve">nieograniczony przetarg ustny na sprzedaż nieruchomości niezabudowanej położonej  w obrębie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Wilczyny</w:t>
      </w:r>
      <w:r>
        <w:rPr>
          <w:b w:val="false"/>
          <w:bCs w:val="false"/>
        </w:rPr>
        <w:t xml:space="preserve">, działka nr 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87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, dla której w Sądzie Rejonowym w Kętrzynie prowadzona jest księga wieczysta OL1K/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00018311/1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lang w:eastAsia="en-US"/>
        </w:rPr>
        <w:t xml:space="preserve">Cena wywoławcza: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en-US" w:bidi="ar-SA"/>
        </w:rPr>
        <w:t>32 000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en-US" w:bidi="ar-SA"/>
        </w:rPr>
        <w:t>,00</w:t>
      </w:r>
      <w:r>
        <w:rPr>
          <w:b/>
          <w:bCs/>
          <w:lang w:eastAsia="en-US"/>
        </w:rPr>
        <w:t xml:space="preserve"> zł.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en-US" w:bidi="ar-SA"/>
        </w:rPr>
        <w:t>3 200</w:t>
      </w:r>
      <w:r>
        <w:rPr>
          <w:b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>Zgodnie z przepisami ustawy z dnia 11 marca 2004 r. o podatku od towarów i usług (t.j. Dz. U. z 2023 r. poz. 1570 z późn. zm.) sprzedaż nieruchomości zwolniona jest z podatku VAT</w:t>
      </w:r>
      <w:r>
        <w:rPr>
          <w:b w:val="false"/>
          <w:bCs w:val="false"/>
          <w:shd w:fill="auto" w:val="clear"/>
          <w:lang w:eastAsia="en-US"/>
        </w:rPr>
        <w:t>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7900</w:t>
      </w:r>
      <w:r>
        <w:rPr>
          <w:b w:val="false"/>
          <w:bCs w:val="false"/>
          <w:lang w:eastAsia="en-US"/>
        </w:rPr>
        <w:t xml:space="preserve"> ha.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 w:val="false"/>
          <w:bCs w:val="false"/>
          <w:shd w:fill="auto" w:val="clear"/>
          <w:lang w:eastAsia="en-US"/>
        </w:rPr>
        <w:t>Nieruchomość nie jest położona na terenie miejscowego planu zagospodarowania przestrzennego.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Wyceniona nieruchomość składa się z jednej działki ewidencyjnej tworzącej nieregularny, trójkątny kształt. Działka charakteryzuje się płaskim ukształtowaniem terenu z licznymi nierównościami. Na terenie parceli brak zabudowań oraz ogrodzenia. Działka jest w całości zadrzewiona (użytek N). Działka jest nieuzbrojona. Do pobliskich zabudowań doprowadzona jest sieć energetyczna, wodociągowa oraz telekomunikacyjna.</w:t>
      </w:r>
    </w:p>
    <w:p>
      <w:pPr>
        <w:pStyle w:val="Normal"/>
        <w:jc w:val="both"/>
        <w:rPr/>
      </w:pPr>
      <w:r>
        <w:rPr>
          <w:b/>
          <w:bCs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02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l-PL" w:eastAsia="pl-PL" w:bidi="ar-SA"/>
        </w:rPr>
        <w:t>01</w:t>
      </w:r>
      <w:r>
        <w:rPr>
          <w:b/>
          <w:bCs/>
        </w:rPr>
        <w:t>.202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>
        <w:rPr>
          <w:b/>
          <w:bCs/>
        </w:rPr>
        <w:t xml:space="preserve"> r.</w:t>
      </w:r>
      <w:r>
        <w:rPr/>
        <w:t>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/>
        <w:t>Cena osiągnięta w przetargu będzie stanowiła cenę nabycia nieruchomości, płatną przed podpisaniem aktu notarialnego.</w:t>
      </w:r>
    </w:p>
    <w:p>
      <w:pPr>
        <w:pStyle w:val="Normal"/>
        <w:jc w:val="both"/>
        <w:rPr/>
      </w:pPr>
      <w:r>
        <w:rPr>
          <w:b/>
          <w:bCs/>
        </w:rPr>
        <w:t xml:space="preserve">Przetarg odbędzie się dnia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04</w:t>
      </w:r>
      <w:r>
        <w:rPr>
          <w:b/>
          <w:bCs/>
          <w:shd w:fill="auto" w:val="clear"/>
        </w:rPr>
        <w:t>.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b/>
          <w:bCs/>
          <w:shd w:fill="auto" w:val="clear"/>
        </w:rPr>
        <w:t>.202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4</w:t>
      </w:r>
      <w:r>
        <w:rPr>
          <w:b/>
          <w:bCs/>
          <w:shd w:fill="auto" w:val="clear"/>
        </w:rPr>
        <w:t xml:space="preserve"> r. o godz.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pl-PL" w:eastAsia="pl-PL" w:bidi="ar-SA"/>
        </w:rPr>
        <w:t>10</w:t>
      </w:r>
      <w:r>
        <w:rPr>
          <w:b/>
          <w:bCs/>
          <w:shd w:fill="auto" w:val="clear"/>
        </w:rPr>
        <w:t xml:space="preserve">-ej </w:t>
      </w:r>
      <w:r>
        <w:rPr>
          <w:b/>
          <w:bCs/>
        </w:rPr>
        <w:t>w siedzibie urzędu, pokój Nr 8.</w:t>
        <w:br/>
      </w:r>
      <w:r>
        <w:rPr/>
        <w:t>O wysokości postąpienia decydują uczestnicy przetargu, z tym że postąpienie nie może wynosić mniej niż 1% ceny wywoławczej z zaokrągleniem do pełnych dziesiątek złotych.</w:t>
      </w:r>
    </w:p>
    <w:p>
      <w:pPr>
        <w:pStyle w:val="Normal"/>
        <w:jc w:val="both"/>
        <w:rPr/>
      </w:pPr>
      <w:r>
        <w:rPr/>
        <w:t>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 xml:space="preserve">Zastrzega się prawo unieważnienia przetargu z ważnych przyczyn.                                        Szczegółowe informacje na temat przetargu można uzyskać w Urzędzie Gminy w Srokowie, Plac Rynkowy 1, tel: 0 89-754 45 </w:t>
      </w:r>
      <w:r>
        <w:rPr>
          <w:rFonts w:eastAsia="Times New Roman" w:cs="Times New Roman"/>
          <w:sz w:val="24"/>
          <w:szCs w:val="24"/>
          <w:lang w:eastAsia="pl-PL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23</w:t>
      </w:r>
      <w:r>
        <w:rPr>
          <w:b/>
        </w:rPr>
        <w:t>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11</w:t>
      </w:r>
      <w:r>
        <w:rPr>
          <w:b/>
        </w:rPr>
        <w:t>.202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b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spacing w:before="57" w:after="57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LibreOffice/7.1.3.2$Windows_X86_64 LibreOffice_project/47f78053abe362b9384784d31a6e56f8511eb1c1</Application>
  <AppVersion>15.0000</AppVersion>
  <Pages>1</Pages>
  <Words>306</Words>
  <Characters>1878</Characters>
  <CharactersWithSpaces>2784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2023-11-21T08:37:50Z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