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  <w:r>
        <w:rPr>
          <w:rFonts w:ascii="Bookman Old Style" w:eastAsia="Bookman Old Style" w:hAnsi="Bookman Old Style" w:cs="Bookman Old Style"/>
          <w:i/>
          <w:sz w:val="52"/>
          <w:szCs w:val="52"/>
        </w:rPr>
        <w:t xml:space="preserve">                 </w:t>
      </w: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Informacja</w:t>
      </w:r>
    </w:p>
    <w:p w:rsidR="001F75F7" w:rsidRDefault="001F75F7" w:rsidP="001F75F7">
      <w:pPr>
        <w:pStyle w:val="Standard"/>
        <w:jc w:val="center"/>
      </w:pPr>
      <w:proofErr w:type="gramStart"/>
      <w:r>
        <w:rPr>
          <w:rFonts w:ascii="Bookman Old Style" w:hAnsi="Bookman Old Style" w:cs="Arial"/>
          <w:i/>
          <w:sz w:val="52"/>
          <w:szCs w:val="52"/>
        </w:rPr>
        <w:t>o</w:t>
      </w:r>
      <w:proofErr w:type="gramEnd"/>
      <w:r>
        <w:rPr>
          <w:rFonts w:ascii="Bookman Old Style" w:hAnsi="Bookman Old Style" w:cs="Arial"/>
          <w:i/>
          <w:sz w:val="52"/>
          <w:szCs w:val="52"/>
        </w:rPr>
        <w:t xml:space="preserve"> kształtowaniu się wieloletniej</w:t>
      </w:r>
    </w:p>
    <w:p w:rsidR="001F75F7" w:rsidRDefault="001F75F7" w:rsidP="001F75F7">
      <w:pPr>
        <w:pStyle w:val="Standard"/>
        <w:jc w:val="center"/>
      </w:pPr>
      <w:proofErr w:type="gramStart"/>
      <w:r>
        <w:rPr>
          <w:rFonts w:ascii="Bookman Old Style" w:hAnsi="Bookman Old Style" w:cs="Arial"/>
          <w:i/>
          <w:sz w:val="52"/>
          <w:szCs w:val="52"/>
        </w:rPr>
        <w:t>prognozy</w:t>
      </w:r>
      <w:proofErr w:type="gramEnd"/>
      <w:r>
        <w:rPr>
          <w:rFonts w:ascii="Bookman Old Style" w:hAnsi="Bookman Old Style" w:cs="Arial"/>
          <w:i/>
          <w:sz w:val="52"/>
          <w:szCs w:val="52"/>
        </w:rPr>
        <w:t xml:space="preserve"> finansowej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proofErr w:type="gramStart"/>
      <w:r>
        <w:rPr>
          <w:rFonts w:ascii="Bookman Old Style" w:hAnsi="Bookman Old Style" w:cs="Arial"/>
          <w:i/>
          <w:sz w:val="52"/>
          <w:szCs w:val="52"/>
        </w:rPr>
        <w:t>w</w:t>
      </w:r>
      <w:proofErr w:type="gramEnd"/>
      <w:r>
        <w:rPr>
          <w:rFonts w:ascii="Bookman Old Style" w:hAnsi="Bookman Old Style" w:cs="Arial"/>
          <w:i/>
          <w:sz w:val="52"/>
          <w:szCs w:val="52"/>
        </w:rPr>
        <w:t xml:space="preserve"> I półroczu 2017r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Załącznik Nr 2 do Zarządzenia Nr 35 /17 z dnia 31 </w:t>
      </w:r>
      <w:proofErr w:type="gramStart"/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lipca   2017r</w:t>
      </w:r>
      <w:proofErr w:type="gramEnd"/>
    </w:p>
    <w:p w:rsidR="001F75F7" w:rsidRDefault="001F75F7" w:rsidP="001F75F7">
      <w:pPr>
        <w:pStyle w:val="Standard"/>
        <w:rPr>
          <w:rFonts w:ascii="Bookman Old Style" w:hAnsi="Bookman Old Style" w:cs="Bookman Old Style"/>
          <w:b/>
          <w:bCs/>
          <w:color w:val="000000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  <w:r>
        <w:rPr>
          <w:rFonts w:ascii="Bookman Old Style" w:hAnsi="Bookman Old Style" w:cs="Bookman Old Style"/>
          <w:sz w:val="32"/>
          <w:szCs w:val="32"/>
          <w:u w:val="single"/>
        </w:rPr>
        <w:lastRenderedPageBreak/>
        <w:t>Część opisowa do Wieloletniej Prognozy Finansowej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</w:pPr>
      <w:r>
        <w:rPr>
          <w:rFonts w:ascii="Bookman Old Style" w:hAnsi="Bookman Old Style" w:cs="Bookman Old Style"/>
          <w:sz w:val="28"/>
          <w:szCs w:val="28"/>
        </w:rPr>
        <w:t xml:space="preserve">W I półroczu </w:t>
      </w:r>
      <w:r w:rsidR="00697D22">
        <w:rPr>
          <w:rFonts w:ascii="Bookman Old Style" w:hAnsi="Bookman Old Style" w:cs="Bookman Old Style"/>
          <w:sz w:val="28"/>
          <w:szCs w:val="28"/>
        </w:rPr>
        <w:t xml:space="preserve">2017r </w:t>
      </w:r>
      <w:r>
        <w:rPr>
          <w:rFonts w:ascii="Bookman Old Style" w:hAnsi="Bookman Old Style" w:cs="Bookman Old Style"/>
          <w:sz w:val="28"/>
          <w:szCs w:val="28"/>
        </w:rPr>
        <w:t xml:space="preserve">realizowano po stronie wydatków </w:t>
      </w:r>
      <w:proofErr w:type="gramStart"/>
      <w:r>
        <w:rPr>
          <w:rFonts w:ascii="Bookman Old Style" w:hAnsi="Bookman Old Style" w:cs="Bookman Old Style"/>
          <w:sz w:val="28"/>
          <w:szCs w:val="28"/>
        </w:rPr>
        <w:t>bieżących  przede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wszystkim zadania obligatoryjne</w:t>
      </w:r>
      <w:r w:rsidR="0001285E">
        <w:rPr>
          <w:rFonts w:ascii="Bookman Old Style" w:hAnsi="Bookman Old Style" w:cs="Bookman Old Style"/>
          <w:sz w:val="28"/>
          <w:szCs w:val="28"/>
        </w:rPr>
        <w:t>,</w:t>
      </w:r>
      <w:r>
        <w:rPr>
          <w:rFonts w:ascii="Bookman Old Style" w:hAnsi="Bookman Old Style" w:cs="Bookman Old Style"/>
          <w:sz w:val="28"/>
          <w:szCs w:val="28"/>
        </w:rPr>
        <w:t xml:space="preserve"> ujęte budżecie.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okresie tym </w:t>
      </w:r>
      <w:proofErr w:type="gramStart"/>
      <w:r>
        <w:rPr>
          <w:rFonts w:ascii="Bookman Old Style" w:hAnsi="Bookman Old Style" w:cs="Bookman Old Style"/>
          <w:sz w:val="28"/>
          <w:szCs w:val="28"/>
        </w:rPr>
        <w:t>mniejsze  niż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w latach ubiegłych jest zaawansowanie zadań  inwestycyjnych</w:t>
      </w:r>
      <w:r w:rsidR="00697D22">
        <w:rPr>
          <w:rFonts w:ascii="Bookman Old Style" w:hAnsi="Bookman Old Style" w:cs="Bookman Old Style"/>
          <w:sz w:val="28"/>
          <w:szCs w:val="28"/>
        </w:rPr>
        <w:t xml:space="preserve"> ale wynika to z harmonogramu </w:t>
      </w:r>
      <w:r>
        <w:rPr>
          <w:rFonts w:ascii="Bookman Old Style" w:hAnsi="Bookman Old Style" w:cs="Bookman Old Style"/>
          <w:sz w:val="28"/>
          <w:szCs w:val="28"/>
        </w:rPr>
        <w:t xml:space="preserve"> realizacji dwóch  zadań z dofinasowaniem z</w:t>
      </w:r>
      <w:r w:rsidR="0001285E">
        <w:rPr>
          <w:rFonts w:ascii="Bookman Old Style" w:hAnsi="Bookman Old Style" w:cs="Bookman Old Style"/>
          <w:sz w:val="28"/>
          <w:szCs w:val="28"/>
        </w:rPr>
        <w:t xml:space="preserve">e środków </w:t>
      </w:r>
      <w:r>
        <w:rPr>
          <w:rFonts w:ascii="Bookman Old Style" w:hAnsi="Bookman Old Style" w:cs="Bookman Old Style"/>
          <w:sz w:val="28"/>
          <w:szCs w:val="28"/>
        </w:rPr>
        <w:t xml:space="preserve">  PROW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tj.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8"/>
        </w:rPr>
        <w:t>1)przebudow</w:t>
      </w:r>
      <w:r w:rsidR="00697D22">
        <w:rPr>
          <w:rFonts w:ascii="Bookman Old Style" w:hAnsi="Bookman Old Style" w:cs="Arial"/>
          <w:color w:val="000000"/>
          <w:sz w:val="28"/>
          <w:szCs w:val="28"/>
        </w:rPr>
        <w:t>y</w:t>
      </w:r>
      <w:proofErr w:type="gramEnd"/>
      <w:r>
        <w:rPr>
          <w:rFonts w:ascii="Bookman Old Style" w:hAnsi="Bookman Old Style" w:cs="Arial"/>
          <w:color w:val="000000"/>
          <w:sz w:val="28"/>
          <w:szCs w:val="28"/>
        </w:rPr>
        <w:t xml:space="preserve"> drogi tj. ul Ogrodowej w Srokowie ,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2) przebudow</w:t>
      </w:r>
      <w:r w:rsidR="00697D22">
        <w:rPr>
          <w:rFonts w:ascii="Bookman Old Style" w:hAnsi="Bookman Old Style" w:cs="Arial"/>
          <w:color w:val="000000"/>
          <w:sz w:val="28"/>
          <w:szCs w:val="28"/>
        </w:rPr>
        <w:t>y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drogi w Kaczorach. 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Przetarg na </w:t>
      </w:r>
      <w:proofErr w:type="gramStart"/>
      <w:r>
        <w:rPr>
          <w:rFonts w:ascii="Bookman Old Style" w:hAnsi="Bookman Old Style" w:cs="Arial"/>
          <w:color w:val="000000"/>
          <w:sz w:val="28"/>
          <w:szCs w:val="28"/>
        </w:rPr>
        <w:t xml:space="preserve">wyłonienie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wykonawcy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przebudowy ul Ogrodowej został rozstrzygnięty  w maju br. podpisana została umowa z wykonawcą . </w:t>
      </w:r>
      <w:r w:rsidR="00697D22">
        <w:rPr>
          <w:rFonts w:ascii="Bookman Old Style" w:hAnsi="Bookman Old Style" w:cs="Bookman Old Style"/>
          <w:color w:val="000000"/>
          <w:sz w:val="28"/>
          <w:szCs w:val="28"/>
        </w:rPr>
        <w:t xml:space="preserve">Prace na inwestycji zostały rozpoczęte.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Termin realizacji koniec września br. </w:t>
      </w:r>
      <w:r w:rsidR="00697D22">
        <w:rPr>
          <w:rFonts w:ascii="Bookman Old Style" w:hAnsi="Bookman Old Style" w:cs="Bookman Old Style"/>
          <w:color w:val="000000"/>
          <w:sz w:val="28"/>
          <w:szCs w:val="28"/>
        </w:rPr>
        <w:t>P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rzetarg na wyłonienie wykonawcy drugiej inwestycji planuje się </w:t>
      </w: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>na  miesiąc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sierpień </w:t>
      </w:r>
      <w:r w:rsidR="00697D22">
        <w:rPr>
          <w:rFonts w:ascii="Bookman Old Style" w:hAnsi="Bookman Old Style" w:cs="Bookman Old Style"/>
          <w:color w:val="000000"/>
          <w:sz w:val="28"/>
          <w:szCs w:val="28"/>
        </w:rPr>
        <w:t>br. P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lanowany terminem realizacji </w:t>
      </w:r>
      <w:r w:rsidR="00697D22">
        <w:rPr>
          <w:rFonts w:ascii="Bookman Old Style" w:hAnsi="Bookman Old Style" w:cs="Bookman Old Style"/>
          <w:color w:val="000000"/>
          <w:sz w:val="28"/>
          <w:szCs w:val="28"/>
        </w:rPr>
        <w:t xml:space="preserve"> tej inwestycji to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końca czerwca 2018r </w:t>
      </w:r>
      <w:r w:rsidR="00697D22">
        <w:rPr>
          <w:rFonts w:ascii="Bookman Old Style" w:hAnsi="Bookman Old Style" w:cs="Bookman Old Style"/>
          <w:color w:val="000000"/>
          <w:sz w:val="28"/>
          <w:szCs w:val="28"/>
        </w:rPr>
        <w:t xml:space="preserve"> ale u</w:t>
      </w:r>
      <w:r>
        <w:rPr>
          <w:rFonts w:ascii="Bookman Old Style" w:hAnsi="Bookman Old Style" w:cs="Bookman Old Style"/>
          <w:color w:val="000000"/>
          <w:sz w:val="28"/>
          <w:szCs w:val="28"/>
        </w:rPr>
        <w:t>mowa z wykonawcą podpisana będzie jeszcze w tym roku .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 Pozostałe zadania zaplanowane w WPF np. budowa wodociągu i sieci kanalizacyjnych planowane są do wykonania w II półroczu a nawet 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istnieje wielkie prawdopodobieństwo przeniesienia tego </w:t>
      </w:r>
      <w:proofErr w:type="gramStart"/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zadania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na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2018r ze względu na planowane 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złożenie wniosku o dofinansowanie  w celu </w:t>
      </w:r>
      <w:r>
        <w:rPr>
          <w:rFonts w:ascii="Bookman Old Style" w:eastAsia="Bookman Old Style" w:hAnsi="Bookman Old Style" w:cs="Bookman Old Style"/>
          <w:sz w:val="28"/>
          <w:szCs w:val="28"/>
        </w:rPr>
        <w:t>pozyskani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a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środków z Programu Polska -Rosja.</w:t>
      </w:r>
      <w:r w:rsidR="0001285E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1F75F7" w:rsidRDefault="0001285E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</w:pPr>
      <w:r>
        <w:rPr>
          <w:rFonts w:ascii="Bookman Old Style" w:eastAsia="Bookman Old Style" w:hAnsi="Bookman Old Style" w:cs="Bookman Old Style"/>
          <w:sz w:val="28"/>
          <w:szCs w:val="28"/>
        </w:rPr>
        <w:t>Pozostałe zadania ujęte w WPF będą realizowane w II półroczu br.</w:t>
      </w:r>
      <w:bookmarkStart w:id="0" w:name="_GoBack"/>
      <w:bookmarkEnd w:id="0"/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proofErr w:type="gramStart"/>
      <w:r>
        <w:rPr>
          <w:rFonts w:ascii="Bookman Old Style" w:hAnsi="Bookman Old Style" w:cs="Bookman Old Style"/>
          <w:sz w:val="28"/>
          <w:szCs w:val="28"/>
        </w:rPr>
        <w:t xml:space="preserve">Opracowała                                                  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           Zatwierdził:</w:t>
      </w: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Małgorzata </w:t>
      </w:r>
      <w:proofErr w:type="spellStart"/>
      <w:proofErr w:type="gramStart"/>
      <w:r>
        <w:rPr>
          <w:rFonts w:ascii="Bookman Old Style" w:hAnsi="Bookman Old Style" w:cs="Bookman Old Style"/>
          <w:sz w:val="28"/>
          <w:szCs w:val="28"/>
        </w:rPr>
        <w:t>Cwalina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                          Franciszek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Andruszkiewicz</w:t>
      </w: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tbl>
      <w:tblPr>
        <w:tblW w:w="1656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6"/>
        <w:gridCol w:w="1968"/>
      </w:tblGrid>
      <w:tr w:rsidR="001F75F7" w:rsidTr="001607D4">
        <w:trPr>
          <w:cantSplit/>
          <w:trHeight w:hRule="exact" w:val="350"/>
        </w:trPr>
        <w:tc>
          <w:tcPr>
            <w:tcW w:w="165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Default="00697D22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</w:t>
            </w:r>
            <w:r w:rsidR="001F75F7">
              <w:rPr>
                <w:rFonts w:ascii="Bookman Old Style" w:hAnsi="Bookman Old Style" w:cs="Bookman Old Style"/>
                <w:sz w:val="28"/>
                <w:szCs w:val="28"/>
              </w:rPr>
              <w:t xml:space="preserve">Skarbnik </w:t>
            </w:r>
            <w:proofErr w:type="gramStart"/>
            <w:r w:rsidR="001F75F7">
              <w:rPr>
                <w:rFonts w:ascii="Bookman Old Style" w:hAnsi="Bookman Old Style" w:cs="Bookman Old Style"/>
                <w:sz w:val="28"/>
                <w:szCs w:val="28"/>
              </w:rPr>
              <w:t xml:space="preserve">Gminy                                                  </w:t>
            </w:r>
            <w:proofErr w:type="gramEnd"/>
            <w:r w:rsidR="001F75F7">
              <w:rPr>
                <w:rFonts w:ascii="Bookman Old Style" w:hAnsi="Bookman Old Style" w:cs="Bookman Old Style"/>
                <w:sz w:val="28"/>
                <w:szCs w:val="28"/>
              </w:rPr>
              <w:t xml:space="preserve">   Wójt Gminy</w:t>
            </w:r>
          </w:p>
        </w:tc>
      </w:tr>
      <w:tr w:rsidR="001F75F7" w:rsidTr="001607D4">
        <w:trPr>
          <w:cantSplit/>
          <w:trHeight w:hRule="exact" w:val="230"/>
        </w:trPr>
        <w:tc>
          <w:tcPr>
            <w:tcW w:w="165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75F7" w:rsidTr="001607D4">
        <w:trPr>
          <w:cantSplit/>
          <w:trHeight w:hRule="exact" w:val="230"/>
        </w:trPr>
        <w:tc>
          <w:tcPr>
            <w:tcW w:w="14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75F7" w:rsidTr="001607D4">
        <w:trPr>
          <w:cantSplit/>
          <w:trHeight w:hRule="exact" w:val="230"/>
        </w:trPr>
        <w:tc>
          <w:tcPr>
            <w:tcW w:w="14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75F7" w:rsidTr="001607D4">
        <w:trPr>
          <w:cantSplit/>
          <w:trHeight w:hRule="exact" w:val="230"/>
        </w:trPr>
        <w:tc>
          <w:tcPr>
            <w:tcW w:w="14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75F7" w:rsidTr="001607D4">
        <w:trPr>
          <w:cantSplit/>
          <w:trHeight w:hRule="exact" w:val="1590"/>
        </w:trPr>
        <w:tc>
          <w:tcPr>
            <w:tcW w:w="145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5F7" w:rsidRDefault="001F75F7" w:rsidP="001607D4">
            <w:pPr>
              <w:pStyle w:val="Standard"/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EF6C97" w:rsidRDefault="00EF6C97"/>
    <w:sectPr w:rsidR="00EF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F7"/>
    <w:rsid w:val="0001285E"/>
    <w:rsid w:val="001F75F7"/>
    <w:rsid w:val="00697D22"/>
    <w:rsid w:val="00C83FE1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3</cp:revision>
  <cp:lastPrinted>2017-08-01T07:28:00Z</cp:lastPrinted>
  <dcterms:created xsi:type="dcterms:W3CDTF">2017-07-31T12:58:00Z</dcterms:created>
  <dcterms:modified xsi:type="dcterms:W3CDTF">2017-08-01T07:38:00Z</dcterms:modified>
</cp:coreProperties>
</file>