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Wójta Gminy Srokowo  – 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Marka Olszewskiego</w:t>
      </w:r>
      <w:r w:rsidRPr="00E83739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przy kontrasygnacie Skar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bnika Gminy – Małgorzaty Cwaliny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E968B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</w:t>
      </w:r>
      <w:r w:rsidR="007E5BE7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Dz. U. z 2019 r. poz. 1843)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E968BF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E968BF">
        <w:rPr>
          <w:rFonts w:ascii="Arial" w:eastAsia="Calibri" w:hAnsi="Arial" w:cs="Arial"/>
          <w:b/>
          <w:sz w:val="22"/>
          <w:szCs w:val="22"/>
        </w:rPr>
        <w:t>„Przebudowy</w:t>
      </w:r>
      <w:r w:rsidR="00E968BF" w:rsidRPr="00E968BF">
        <w:rPr>
          <w:rFonts w:ascii="Arial" w:eastAsia="Calibri" w:hAnsi="Arial" w:cs="Arial"/>
          <w:b/>
          <w:sz w:val="22"/>
          <w:szCs w:val="22"/>
        </w:rPr>
        <w:t xml:space="preserve"> drogi stanowiącej dojazd do pól, Srokowo-Pieczarki, gmina Srokowo (dz. nr 390, obręb Srokowo)”</w:t>
      </w:r>
      <w:r w:rsidRPr="00E83739">
        <w:rPr>
          <w:rFonts w:ascii="Arial" w:eastAsia="Calibri" w:hAnsi="Arial" w:cs="Arial"/>
          <w:sz w:val="22"/>
          <w:szCs w:val="22"/>
        </w:rPr>
        <w:t xml:space="preserve"> zgodnie z wymaganiami określonymi przez Zamawiającego i zasadami wiedzy technicznej, na warunkach ws</w:t>
      </w:r>
      <w:r w:rsidR="00D01ADF" w:rsidRPr="00E83739">
        <w:rPr>
          <w:rFonts w:ascii="Arial" w:eastAsia="Calibri" w:hAnsi="Arial" w:cs="Arial"/>
          <w:sz w:val="22"/>
          <w:szCs w:val="22"/>
        </w:rPr>
        <w:t xml:space="preserve">kazanych </w:t>
      </w:r>
      <w:r w:rsidRPr="00E83739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E83739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E83739" w:rsidRDefault="006A54DC" w:rsidP="006A54DC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Zamówienie </w:t>
      </w:r>
      <w:r w:rsidR="009221B2" w:rsidRPr="00E83739">
        <w:rPr>
          <w:rFonts w:ascii="Arial" w:eastAsia="Calibri" w:hAnsi="Arial" w:cs="Arial"/>
          <w:sz w:val="22"/>
          <w:szCs w:val="22"/>
        </w:rPr>
        <w:t xml:space="preserve">wykonane będzie z udziałem środków z dochodów budżetu Województwa Warmińsko-Mazurskiego związanych z </w:t>
      </w:r>
      <w:proofErr w:type="spellStart"/>
      <w:r w:rsidR="009221B2" w:rsidRPr="00E83739">
        <w:rPr>
          <w:rFonts w:ascii="Arial" w:eastAsia="Calibri" w:hAnsi="Arial" w:cs="Arial"/>
          <w:sz w:val="22"/>
          <w:szCs w:val="22"/>
        </w:rPr>
        <w:t>wyłączeniami</w:t>
      </w:r>
      <w:proofErr w:type="spellEnd"/>
      <w:r w:rsidR="009221B2" w:rsidRPr="00E83739">
        <w:rPr>
          <w:rFonts w:ascii="Arial" w:eastAsia="Calibri" w:hAnsi="Arial" w:cs="Arial"/>
          <w:sz w:val="22"/>
          <w:szCs w:val="22"/>
        </w:rPr>
        <w:t xml:space="preserve"> z produkcji gruntów rolnych.</w:t>
      </w:r>
    </w:p>
    <w:p w:rsidR="006A54DC" w:rsidRPr="00E83739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E968B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E968BF" w:rsidRPr="00E968BF">
        <w:rPr>
          <w:rFonts w:ascii="Arial" w:hAnsi="Arial" w:cs="Arial"/>
          <w:b/>
          <w:sz w:val="22"/>
          <w:szCs w:val="22"/>
        </w:rPr>
        <w:t>10.12.2019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Terminowa zapłata wynagrodzenia za wykonane i odebrane prace.</w:t>
      </w:r>
    </w:p>
    <w:p w:rsidR="006A54DC" w:rsidRPr="00E83739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E968B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</w:t>
      </w:r>
      <w:r w:rsidR="00E968BF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r. Prawo budowlane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z 2019 r. poz. 1186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E968BF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 w:rsidRPr="004A4F61">
        <w:t xml:space="preserve"> </w:t>
      </w:r>
      <w:r w:rsidR="00E968BF" w:rsidRPr="00E968BF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</w:t>
      </w:r>
      <w:r w:rsidR="00E968BF">
        <w:rPr>
          <w:rFonts w:ascii="Arial" w:eastAsia="Calibri" w:hAnsi="Arial" w:cs="Arial"/>
          <w:sz w:val="22"/>
          <w:szCs w:val="22"/>
        </w:rPr>
        <w:br/>
      </w:r>
      <w:r w:rsidR="00E968BF" w:rsidRPr="00E968BF">
        <w:rPr>
          <w:rFonts w:ascii="Arial" w:eastAsia="Calibri" w:hAnsi="Arial" w:cs="Arial"/>
          <w:sz w:val="22"/>
          <w:szCs w:val="22"/>
        </w:rPr>
        <w:t xml:space="preserve">z 2019 r. poz. 1396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E968BF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Pr="00F56606">
        <w:rPr>
          <w:rFonts w:ascii="Arial" w:eastAsia="Calibri" w:hAnsi="Arial" w:cs="Arial"/>
          <w:sz w:val="22"/>
          <w:szCs w:val="22"/>
        </w:rPr>
        <w:t xml:space="preserve">r. o odpadach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 xml:space="preserve">. Dz. U. z 2019 r. poz. 701 z 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zm.)</w:t>
      </w:r>
      <w:r w:rsidR="00F56606" w:rsidRPr="00F56606">
        <w:rPr>
          <w:rFonts w:ascii="Arial" w:eastAsia="Calibri" w:hAnsi="Arial" w:cs="Arial"/>
          <w:sz w:val="22"/>
          <w:szCs w:val="22"/>
        </w:rPr>
        <w:t>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6A54DC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oświadcza, ze posiada polisę lub ewentualnie inny dokument ubezpieczenia potwierdzający, że jest ubezpieczony od odpowiedzialności cywilnej </w:t>
      </w:r>
      <w:r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A54DC" w:rsidRDefault="006A54D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lastRenderedPageBreak/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7E5BE7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Odbiory robót zanikających i ule</w:t>
      </w:r>
      <w:r w:rsidR="006A54DC" w:rsidRPr="00E83739">
        <w:rPr>
          <w:rFonts w:ascii="Arial" w:eastAsia="Calibri" w:hAnsi="Arial" w:cs="Arial"/>
          <w:sz w:val="22"/>
          <w:szCs w:val="22"/>
        </w:rPr>
        <w:t>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</w:t>
      </w:r>
      <w:r w:rsidR="00B859FB">
        <w:rPr>
          <w:rFonts w:ascii="Arial" w:eastAsia="Calibri" w:hAnsi="Arial" w:cs="Arial"/>
          <w:sz w:val="22"/>
          <w:szCs w:val="22"/>
        </w:rPr>
        <w:t xml:space="preserve">ń opóźnienia liczonego od dnia </w:t>
      </w:r>
      <w:r w:rsidRPr="00E83739">
        <w:rPr>
          <w:rFonts w:ascii="Arial" w:eastAsia="Calibri" w:hAnsi="Arial" w:cs="Arial"/>
          <w:sz w:val="22"/>
          <w:szCs w:val="22"/>
        </w:rPr>
        <w:t>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</w:t>
      </w:r>
      <w:r w:rsidR="00B859FB">
        <w:rPr>
          <w:rFonts w:ascii="Arial" w:eastAsia="Calibri" w:hAnsi="Arial" w:cs="Arial"/>
          <w:sz w:val="22"/>
          <w:szCs w:val="22"/>
        </w:rPr>
        <w:t>y umowne za odstąpienie</w:t>
      </w:r>
      <w:r w:rsidRPr="00E83739">
        <w:rPr>
          <w:rFonts w:ascii="Arial" w:eastAsia="Calibri" w:hAnsi="Arial" w:cs="Arial"/>
          <w:sz w:val="22"/>
          <w:szCs w:val="22"/>
        </w:rPr>
        <w:t xml:space="preserve">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</w:t>
      </w:r>
      <w:r w:rsidR="00B859FB">
        <w:rPr>
          <w:rFonts w:ascii="Arial" w:eastAsia="Calibri" w:hAnsi="Arial" w:cs="Arial"/>
          <w:sz w:val="22"/>
          <w:szCs w:val="22"/>
        </w:rPr>
        <w:t xml:space="preserve">do </w:t>
      </w:r>
      <w:r w:rsidRPr="00E83739">
        <w:rPr>
          <w:rFonts w:ascii="Arial" w:eastAsia="Calibri" w:hAnsi="Arial" w:cs="Arial"/>
          <w:sz w:val="22"/>
          <w:szCs w:val="22"/>
        </w:rPr>
        <w:t>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C42832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42832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E968BF">
        <w:rPr>
          <w:rFonts w:ascii="Arial" w:eastAsia="Calibri" w:hAnsi="Arial" w:cs="Arial"/>
          <w:sz w:val="22"/>
          <w:szCs w:val="22"/>
        </w:rPr>
        <w:t>. Dz. U. z 2019 r. poz. 1843)</w:t>
      </w:r>
      <w:r w:rsidRPr="00E83739">
        <w:rPr>
          <w:rFonts w:ascii="Arial" w:eastAsia="Calibri" w:hAnsi="Arial" w:cs="Arial"/>
          <w:sz w:val="22"/>
          <w:szCs w:val="22"/>
        </w:rPr>
        <w:t>, wymaga zatrudnienia przez Wykonawcę lub podwykonawcę na podstawie umowy o pracę osób wykonujących czynności w zakresie realizacji zamówienia, polegające na wyko</w:t>
      </w:r>
      <w:r w:rsidR="00B859FB">
        <w:rPr>
          <w:rFonts w:ascii="Arial" w:eastAsia="Calibri" w:hAnsi="Arial" w:cs="Arial"/>
          <w:sz w:val="22"/>
          <w:szCs w:val="22"/>
        </w:rPr>
        <w:t xml:space="preserve">naniu pracy w sposób określony </w:t>
      </w:r>
      <w:r w:rsidRPr="00E83739">
        <w:rPr>
          <w:rFonts w:ascii="Arial" w:eastAsia="Calibri" w:hAnsi="Arial" w:cs="Arial"/>
          <w:sz w:val="22"/>
          <w:szCs w:val="22"/>
        </w:rPr>
        <w:t xml:space="preserve">w art. 22 § 1 ustawy z dnia 26 czerwca 1974 r. – Kodeks pracy </w:t>
      </w:r>
      <w:r w:rsidR="00C42832" w:rsidRPr="00C42832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C42832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C42832">
        <w:rPr>
          <w:rFonts w:ascii="Arial" w:eastAsia="Calibri" w:hAnsi="Arial" w:cs="Arial"/>
          <w:sz w:val="22"/>
          <w:szCs w:val="22"/>
        </w:rPr>
        <w:t xml:space="preserve">. Dz. U. </w:t>
      </w:r>
      <w:r w:rsidR="00C42832">
        <w:rPr>
          <w:rFonts w:ascii="Arial" w:eastAsia="Calibri" w:hAnsi="Arial" w:cs="Arial"/>
          <w:sz w:val="22"/>
          <w:szCs w:val="22"/>
        </w:rPr>
        <w:br/>
      </w:r>
      <w:r w:rsidR="00C42832" w:rsidRPr="00C42832">
        <w:rPr>
          <w:rFonts w:ascii="Arial" w:eastAsia="Calibri" w:hAnsi="Arial" w:cs="Arial"/>
          <w:sz w:val="22"/>
          <w:szCs w:val="22"/>
        </w:rPr>
        <w:lastRenderedPageBreak/>
        <w:t xml:space="preserve">z 2019 r. poz. 1040 z </w:t>
      </w:r>
      <w:proofErr w:type="spellStart"/>
      <w:r w:rsidR="00C42832" w:rsidRPr="00C42832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42832" w:rsidRPr="00C42832">
        <w:rPr>
          <w:rFonts w:ascii="Arial" w:eastAsia="Calibri" w:hAnsi="Arial" w:cs="Arial"/>
          <w:sz w:val="22"/>
          <w:szCs w:val="22"/>
        </w:rPr>
        <w:t>. zm.)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</w:t>
      </w:r>
      <w:r w:rsidR="00C42832">
        <w:rPr>
          <w:rFonts w:ascii="Arial" w:eastAsia="Calibri" w:hAnsi="Arial" w:cs="Arial"/>
          <w:sz w:val="22"/>
          <w:szCs w:val="22"/>
        </w:rPr>
        <w:t xml:space="preserve">cia umowy, rodzaj umowy o pracę, </w:t>
      </w:r>
      <w:r w:rsidR="00AA4BCD" w:rsidRPr="00AA4BCD">
        <w:rPr>
          <w:rFonts w:ascii="Arial" w:eastAsia="Calibri" w:hAnsi="Arial" w:cs="Arial"/>
          <w:sz w:val="22"/>
          <w:szCs w:val="22"/>
        </w:rPr>
        <w:t>wymiar etatu</w:t>
      </w:r>
      <w:r w:rsidR="00C42832">
        <w:rPr>
          <w:rFonts w:ascii="Arial" w:eastAsia="Calibri" w:hAnsi="Arial" w:cs="Arial"/>
          <w:sz w:val="22"/>
          <w:szCs w:val="22"/>
        </w:rPr>
        <w:t xml:space="preserve"> oraz zakres obowiązków pracownika.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gwarantuje, że wykonany przez niego przedmiot umowy został wykonany zgodnie z postanowieniami umowy, specyfikacją techniczną i dokumentacją projektową, a także zgodnie z najlepszą wiedzą Wykonawcy oraz aktualnie </w:t>
      </w:r>
      <w:r w:rsidRPr="00E83739">
        <w:rPr>
          <w:rFonts w:ascii="Arial" w:eastAsia="Calibri" w:hAnsi="Arial" w:cs="Arial"/>
          <w:sz w:val="22"/>
          <w:szCs w:val="22"/>
        </w:rPr>
        <w:lastRenderedPageBreak/>
        <w:t>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C42832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</w:t>
      </w:r>
      <w:r w:rsidR="00E22659">
        <w:rPr>
          <w:rFonts w:ascii="Arial" w:eastAsia="Calibri" w:hAnsi="Arial" w:cs="Arial"/>
          <w:sz w:val="22"/>
          <w:szCs w:val="22"/>
        </w:rPr>
        <w:t xml:space="preserve"> podstawie art.24 ust.1 ustawy P</w:t>
      </w:r>
      <w:r w:rsidRPr="00E83739">
        <w:rPr>
          <w:rFonts w:ascii="Arial" w:eastAsia="Calibri" w:hAnsi="Arial" w:cs="Arial"/>
          <w:sz w:val="22"/>
          <w:szCs w:val="22"/>
        </w:rPr>
        <w:t>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E83739" w:rsidRDefault="006A54DC" w:rsidP="00E22659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sprawach nieuregulowanych niniejszą u</w:t>
      </w:r>
      <w:r w:rsidR="001804AA" w:rsidRPr="00E83739">
        <w:rPr>
          <w:rFonts w:ascii="Arial" w:eastAsia="Calibri" w:hAnsi="Arial" w:cs="Arial"/>
          <w:sz w:val="22"/>
          <w:szCs w:val="22"/>
        </w:rPr>
        <w:t>mową stosuje się przepisy ustaw</w:t>
      </w:r>
      <w:r w:rsidRPr="00E83739">
        <w:rPr>
          <w:rFonts w:ascii="Arial" w:eastAsia="Calibri" w:hAnsi="Arial" w:cs="Arial"/>
          <w:sz w:val="22"/>
          <w:szCs w:val="22"/>
        </w:rPr>
        <w:t>: ustawy                 z dnia 29 stycznia 2004</w:t>
      </w:r>
      <w:r w:rsidR="00E2265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22659" w:rsidRPr="00E22659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E22659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E22659">
        <w:rPr>
          <w:rFonts w:ascii="Arial" w:eastAsia="Calibri" w:hAnsi="Arial" w:cs="Arial"/>
          <w:sz w:val="22"/>
          <w:szCs w:val="22"/>
        </w:rPr>
        <w:t>. Dz. U. z 2019 r. poz. 1843)</w:t>
      </w:r>
      <w:r w:rsidRPr="00E83739">
        <w:rPr>
          <w:rFonts w:ascii="Arial" w:eastAsia="Calibri" w:hAnsi="Arial" w:cs="Arial"/>
          <w:sz w:val="22"/>
          <w:szCs w:val="22"/>
        </w:rPr>
        <w:t>, ustawy z dnia 7 lipca 1994</w:t>
      </w:r>
      <w:r w:rsidR="00E2265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budowlane </w:t>
      </w:r>
      <w:r w:rsidR="00E22659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E968BF">
        <w:rPr>
          <w:rFonts w:ascii="Arial" w:eastAsia="Calibri" w:hAnsi="Arial" w:cs="Arial"/>
          <w:sz w:val="22"/>
          <w:szCs w:val="22"/>
        </w:rPr>
        <w:t xml:space="preserve">. Dz. U. z 2019 r. poz. 1186 z </w:t>
      </w:r>
      <w:proofErr w:type="spellStart"/>
      <w:r w:rsidR="00E22659" w:rsidRPr="00E968BF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E22659" w:rsidRPr="00E968BF">
        <w:rPr>
          <w:rFonts w:ascii="Arial" w:eastAsia="Calibri" w:hAnsi="Arial" w:cs="Arial"/>
          <w:sz w:val="22"/>
          <w:szCs w:val="22"/>
        </w:rPr>
        <w:t>. zm.)</w:t>
      </w:r>
      <w:r w:rsidR="00E2265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oraz ustawy z dnia 23 kwi</w:t>
      </w:r>
      <w:r w:rsidR="00B1781A">
        <w:rPr>
          <w:rFonts w:ascii="Arial" w:eastAsia="Calibri" w:hAnsi="Arial" w:cs="Arial"/>
          <w:sz w:val="22"/>
          <w:szCs w:val="22"/>
        </w:rPr>
        <w:t>etnia 1964</w:t>
      </w:r>
      <w:r w:rsidR="00E22659">
        <w:rPr>
          <w:rFonts w:ascii="Arial" w:eastAsia="Calibri" w:hAnsi="Arial" w:cs="Arial"/>
          <w:sz w:val="22"/>
          <w:szCs w:val="22"/>
        </w:rPr>
        <w:t xml:space="preserve"> </w:t>
      </w:r>
      <w:r w:rsidR="00B1781A">
        <w:rPr>
          <w:rFonts w:ascii="Arial" w:eastAsia="Calibri" w:hAnsi="Arial" w:cs="Arial"/>
          <w:sz w:val="22"/>
          <w:szCs w:val="22"/>
        </w:rPr>
        <w:t xml:space="preserve">r. - Kodeks cywilny </w:t>
      </w:r>
      <w:r w:rsidR="00E22659" w:rsidRPr="00E22659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22659" w:rsidRPr="00E22659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22659" w:rsidRPr="00E22659">
        <w:rPr>
          <w:rFonts w:ascii="Arial" w:eastAsia="Calibri" w:hAnsi="Arial" w:cs="Arial"/>
          <w:sz w:val="22"/>
          <w:szCs w:val="22"/>
        </w:rPr>
        <w:t>. Dz. U. z 2019 r. poz. 1145)</w:t>
      </w:r>
      <w:r w:rsidR="00E2265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o ile przepisy ustawy Prawa zamówień publicznych nie stanowią inaczej.</w:t>
      </w:r>
      <w:bookmarkStart w:id="0" w:name="_GoBack"/>
      <w:bookmarkEnd w:id="0"/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WYKONAWCA 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  <w:r w:rsidRPr="00E83739">
        <w:rPr>
          <w:rFonts w:ascii="Arial" w:eastAsia="Calibri" w:hAnsi="Arial" w:cs="Arial"/>
          <w:b/>
          <w:sz w:val="22"/>
          <w:szCs w:val="22"/>
        </w:rPr>
        <w:tab/>
        <w:t>ZAMAWIAJĄCY :</w:t>
      </w:r>
      <w:r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FB" w:rsidRDefault="005802FB">
      <w:r>
        <w:separator/>
      </w:r>
    </w:p>
  </w:endnote>
  <w:endnote w:type="continuationSeparator" w:id="0">
    <w:p w:rsidR="005802FB" w:rsidRDefault="005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265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540473" w:rsidRPr="00F77075" w:rsidRDefault="00540473" w:rsidP="00540473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540473" w:rsidRDefault="00540473" w:rsidP="00540473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530BA0" w:rsidRPr="00530BA0">
      <w:rPr>
        <w:i/>
        <w:sz w:val="18"/>
      </w:rPr>
      <w:t>„Przebudowa drogi stanowiącej dojazd do pól, Srokowo-Pieczarki, gmina Srokowo (dz. nr 390, obręb Srokowo)”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0" w:rsidRDefault="00530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FB" w:rsidRDefault="005802FB">
      <w:r>
        <w:separator/>
      </w:r>
    </w:p>
  </w:footnote>
  <w:footnote w:type="continuationSeparator" w:id="0">
    <w:p w:rsidR="005802FB" w:rsidRDefault="0058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0" w:rsidRDefault="00530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0" w:rsidRDefault="00530B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A0" w:rsidRDefault="00530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37B6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233EB4"/>
    <w:rsid w:val="00252C4C"/>
    <w:rsid w:val="002F47AC"/>
    <w:rsid w:val="0031783A"/>
    <w:rsid w:val="003A41E6"/>
    <w:rsid w:val="003D0B52"/>
    <w:rsid w:val="003D6FD8"/>
    <w:rsid w:val="003E106D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30BA0"/>
    <w:rsid w:val="00540473"/>
    <w:rsid w:val="0055144D"/>
    <w:rsid w:val="005802FB"/>
    <w:rsid w:val="00621B26"/>
    <w:rsid w:val="00647C18"/>
    <w:rsid w:val="00674FC3"/>
    <w:rsid w:val="006A54DC"/>
    <w:rsid w:val="006C15CC"/>
    <w:rsid w:val="006F207D"/>
    <w:rsid w:val="00713628"/>
    <w:rsid w:val="00713BD0"/>
    <w:rsid w:val="0072101B"/>
    <w:rsid w:val="007411C1"/>
    <w:rsid w:val="00784E96"/>
    <w:rsid w:val="007E5BE7"/>
    <w:rsid w:val="00805A54"/>
    <w:rsid w:val="00812528"/>
    <w:rsid w:val="00840A2B"/>
    <w:rsid w:val="00864E33"/>
    <w:rsid w:val="00881DB5"/>
    <w:rsid w:val="00915E5C"/>
    <w:rsid w:val="0092036C"/>
    <w:rsid w:val="009221B2"/>
    <w:rsid w:val="00970B9E"/>
    <w:rsid w:val="00A3493E"/>
    <w:rsid w:val="00A81744"/>
    <w:rsid w:val="00A82FD2"/>
    <w:rsid w:val="00AA4BCD"/>
    <w:rsid w:val="00AA613D"/>
    <w:rsid w:val="00B05528"/>
    <w:rsid w:val="00B14CE4"/>
    <w:rsid w:val="00B1781A"/>
    <w:rsid w:val="00B44454"/>
    <w:rsid w:val="00B733DC"/>
    <w:rsid w:val="00B82706"/>
    <w:rsid w:val="00B859FB"/>
    <w:rsid w:val="00BA46D6"/>
    <w:rsid w:val="00BA5055"/>
    <w:rsid w:val="00BD6A33"/>
    <w:rsid w:val="00BE5529"/>
    <w:rsid w:val="00C42832"/>
    <w:rsid w:val="00C5124B"/>
    <w:rsid w:val="00C54671"/>
    <w:rsid w:val="00CA3A70"/>
    <w:rsid w:val="00CA74AD"/>
    <w:rsid w:val="00D01ADF"/>
    <w:rsid w:val="00D21AA3"/>
    <w:rsid w:val="00D23886"/>
    <w:rsid w:val="00D32593"/>
    <w:rsid w:val="00DB5355"/>
    <w:rsid w:val="00DB7CE3"/>
    <w:rsid w:val="00DD0192"/>
    <w:rsid w:val="00E04661"/>
    <w:rsid w:val="00E22659"/>
    <w:rsid w:val="00E2327B"/>
    <w:rsid w:val="00E83739"/>
    <w:rsid w:val="00E968BF"/>
    <w:rsid w:val="00EC6325"/>
    <w:rsid w:val="00EC638F"/>
    <w:rsid w:val="00EF4E1B"/>
    <w:rsid w:val="00F34819"/>
    <w:rsid w:val="00F56606"/>
    <w:rsid w:val="00F6510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A531-D498-430D-AD87-22988B4A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4972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59</cp:revision>
  <cp:lastPrinted>2017-03-10T13:49:00Z</cp:lastPrinted>
  <dcterms:created xsi:type="dcterms:W3CDTF">2017-03-10T13:51:00Z</dcterms:created>
  <dcterms:modified xsi:type="dcterms:W3CDTF">2019-10-23T07:32:00Z</dcterms:modified>
</cp:coreProperties>
</file>