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1A1205">
        <w:rPr>
          <w:rFonts w:ascii="Times New Roman" w:hAnsi="Times New Roman" w:cs="Times New Roman"/>
          <w:b/>
          <w:bCs/>
          <w:sz w:val="24"/>
          <w:szCs w:val="24"/>
        </w:rPr>
        <w:t xml:space="preserve">          </w:t>
      </w:r>
      <w:r w:rsidRPr="001A1205">
        <w:rPr>
          <w:rFonts w:ascii="Bookman Old Style" w:hAnsi="Bookman Old Style" w:cs="Bookman Old Style"/>
          <w:b/>
          <w:bCs/>
          <w:sz w:val="24"/>
          <w:szCs w:val="24"/>
        </w:rPr>
        <w:t xml:space="preserve">      </w:t>
      </w:r>
      <w:r w:rsidRPr="001A1205">
        <w:rPr>
          <w:rFonts w:ascii="Bookman Old Style" w:hAnsi="Bookman Old Style" w:cs="Bookman Old Style"/>
          <w:b/>
          <w:bCs/>
          <w:color w:val="000000"/>
          <w:sz w:val="24"/>
          <w:szCs w:val="24"/>
        </w:rPr>
        <w:t xml:space="preserve">  Uzasadnienie do uchwały budżetowej</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color w:val="00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Budżet Gminy  na rok 2020 został zaplanowany w kwotach:</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ab/>
      </w:r>
      <w:r w:rsidRPr="001A1205">
        <w:rPr>
          <w:rFonts w:ascii="Bookman Old Style" w:hAnsi="Bookman Old Style" w:cs="Bookman Old Style"/>
          <w:color w:val="000000"/>
          <w:sz w:val="24"/>
          <w:szCs w:val="24"/>
        </w:rPr>
        <w:tab/>
      </w:r>
      <w:r w:rsidRPr="001A1205">
        <w:rPr>
          <w:rFonts w:ascii="Bookman Old Style" w:hAnsi="Bookman Old Style" w:cs="Bookman Old Style"/>
          <w:color w:val="000000"/>
          <w:sz w:val="24"/>
          <w:szCs w:val="24"/>
        </w:rPr>
        <w:tab/>
        <w:t>dochody -19 022 512,66 zł.</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ab/>
      </w:r>
      <w:r w:rsidRPr="001A1205">
        <w:rPr>
          <w:rFonts w:ascii="Bookman Old Style" w:hAnsi="Bookman Old Style" w:cs="Bookman Old Style"/>
          <w:color w:val="000000"/>
          <w:sz w:val="24"/>
          <w:szCs w:val="24"/>
        </w:rPr>
        <w:tab/>
      </w:r>
      <w:r w:rsidRPr="001A1205">
        <w:rPr>
          <w:rFonts w:ascii="Bookman Old Style" w:hAnsi="Bookman Old Style" w:cs="Bookman Old Style"/>
          <w:color w:val="000000"/>
          <w:sz w:val="24"/>
          <w:szCs w:val="24"/>
        </w:rPr>
        <w:tab/>
        <w:t>wydatki  -20 759 840,08 zł.</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FF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Deficyt budżetu wynosi 1 737 327,42zł i zostanie pokryty pożyczkami:               z Wojewódzkiego Funduszu Ochrony Środowiska i Gospodarki Wodnej                 1 000 000zł , Banku Gospodarstwa Krajowego –300 000zł na wyprzedzające finansowanie , oraz nadwyżką budżetową w wysokości - 437 327,42 zł.</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4"/>
          <w:szCs w:val="24"/>
        </w:rPr>
      </w:pPr>
      <w:r w:rsidRPr="001A1205">
        <w:rPr>
          <w:rFonts w:ascii="Bookman Old Style" w:hAnsi="Bookman Old Style" w:cs="Bookman Old Style"/>
          <w:color w:val="FF0000"/>
          <w:sz w:val="24"/>
          <w:szCs w:val="24"/>
        </w:rPr>
        <w:t xml:space="preserve">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Dochody bieżące planuje się osiągnąć w kwocie 17 518 143,82 zł.tj. 92,09%  dochodów ogółem planowanych do osiągnięcia w 2020r</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Natomiast dochody majątkowe – 1 504 368,84 zł. tj. 7,91 % planowanych dochodów ogółem.</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1A1205">
        <w:rPr>
          <w:rFonts w:ascii="Bookman Old Style" w:hAnsi="Bookman Old Style" w:cs="Bookman Old Style"/>
          <w:color w:val="000000"/>
          <w:sz w:val="24"/>
          <w:szCs w:val="24"/>
        </w:rPr>
        <w:t xml:space="preserve">Na wydatki bieżące jednostek przeznacza się – 17 026 821,69 zł. </w:t>
      </w:r>
      <w:r w:rsidRPr="001A1205">
        <w:rPr>
          <w:rFonts w:ascii="Bookman Old Style" w:hAnsi="Bookman Old Style" w:cs="Bookman Old Style"/>
          <w:color w:val="FF0000"/>
          <w:sz w:val="24"/>
          <w:szCs w:val="24"/>
        </w:rPr>
        <w:t xml:space="preserve"> </w:t>
      </w:r>
      <w:r w:rsidRPr="001A1205">
        <w:rPr>
          <w:rFonts w:ascii="Bookman Old Style" w:hAnsi="Bookman Old Style" w:cs="Bookman Old Style"/>
          <w:color w:val="000000"/>
          <w:sz w:val="24"/>
          <w:szCs w:val="24"/>
        </w:rPr>
        <w:t>tj. 82,01 %</w:t>
      </w:r>
      <w:r w:rsidRPr="001A1205">
        <w:rPr>
          <w:rFonts w:ascii="Bookman Old Style" w:hAnsi="Bookman Old Style" w:cs="Bookman Old Style"/>
          <w:color w:val="FF0000"/>
          <w:sz w:val="24"/>
          <w:szCs w:val="24"/>
        </w:rPr>
        <w:t xml:space="preserve"> </w:t>
      </w:r>
      <w:r w:rsidRPr="001A1205">
        <w:rPr>
          <w:rFonts w:ascii="Bookman Old Style" w:hAnsi="Bookman Old Style" w:cs="Bookman Old Style"/>
          <w:color w:val="000000"/>
          <w:sz w:val="24"/>
          <w:szCs w:val="24"/>
        </w:rPr>
        <w:t>planowanych wydatków budżetowych, w tym na dotacje:</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dla jednostek upowszechniania kultury 575 000 zł. tj.  2,77 % wydatków ogółem      </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dla samorządowego zakładu budżetowego (ZGKiM) – 652 400zł.  tj. 3,147%</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dla jednostek nie zaliczonych do sektora finansów publicznych- 32 000 zł,  tj.0,15%, wydatków ogółem, w tym na konkursy dla stowarzyszeń  –29 500zł</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Dochody i wydatki na zadania zlecone gminie ustawami ustalono w kwocie</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5 227 594 zł. tj. 25,18 % wydatków bieżących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Na wydatki majątkowe przeznaczone zostały środki w kwocie  3 733 018,39 zł. tj. 17 99 % wydatków budżetu ogółem w tym rezerwa na zadania inwestycyjne z udziałem środków zewnętrznych  50 000 zł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Priorytetowe zadania inwestycyjne Gminy w 2020r to przebudowa dróg gminnych oraz zadania wodociągowe oraz realizacja projektów  rekreacyjnych. Ze  środków własnych wykonane zostanie  opracowanie 2 dokumentacji na drogi gminne tj.   na przebudowę dróg w Silcu i Siniec –Katy. Ze względu na to,   że projekty w ramach  Programu Polska Rosja na drogi oraz wodociągi nie przeszły w konkursie chcemy zrealizować zadania wodociągowe w ramach pożyczek z WFOŚIGW lub w konkursie z PROW  ( jeżeli ogłoszony zostanie konkurs – dofinansowanie 63,63% ) chodzi o  przebudowę wodociągu                w Srokowie i budowa w Sińcu – kolonia.  Kolejne priorytety to dofinansowanie do budowy oczyszczalni przydomowych realizacja ze  środków  własnych a także  termomodernizacja obiektów gminnych tj. wymiana okien i remont dachu          ( opracowanie dokumentacji ) oraz termomodernizacja budynku </w:t>
      </w:r>
      <w:r w:rsidRPr="001A1205">
        <w:rPr>
          <w:rFonts w:ascii="Bookman Old Style" w:hAnsi="Bookman Old Style" w:cs="Bookman Old Style"/>
          <w:color w:val="000000"/>
          <w:sz w:val="24"/>
          <w:szCs w:val="24"/>
        </w:rPr>
        <w:lastRenderedPageBreak/>
        <w:t xml:space="preserve">Szkoły  Podstawowej w Srokowie. Dokumentację na dodatkowe ujęcie wody                   w Skandławkach.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Poza wyżej wymienionymi będą realizowane również zadania inwestycyjne         w ramach funduszy sołeckich tj.</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Sołectwo  Srokowo- opracowanie dokumentacji na modernizację ulicy Młynarskiej i Traugutta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Sołectwo Jankowice i sołectwo Jegławka – budowa wiat,</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Sołectwo Wilczyny i Sołectwo Bajory – zakup i montaż lamp solarowych            w miejscowościach :Osikowo  i Bajory Gaj.</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1A1205">
        <w:rPr>
          <w:rFonts w:ascii="Bookman Old Style" w:hAnsi="Bookman Old Style" w:cs="Bookman Old Style"/>
          <w:color w:val="000000"/>
          <w:sz w:val="24"/>
          <w:szCs w:val="24"/>
        </w:rPr>
        <w:t>W celu ustalenia dochodów przyjęto wzrost górnych stawek podatków i opłat lokalnych o 2,3% przy założeniu pozostawienia już osiągniętych górnych stawek jako górne , natomiast w tych które nie osiągnęły górnego pułapu wzrost o10%. Wzrost czynszów za lokale mieszkalne o 5% oraz z tytułu  najmu lokali gospodarczych -10% , najmu lub dzierżawy  za lokale użytkowe od 8  do 10 %, czynszów za dzierżawę gruntów o 10 % w stosunku do ustalonych w 2019r. Przyjęto, do naliczenia podatku rolnego i leśnego,  cenę żyta oraz cenę drewna tartacznego  w wysokości ustalonej przez Prezesa GUS, subwencję według informacji Ministra  Finansów, natomiast środki na zadania zlecone zgodnie z decyzją Wojewody.</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Zaplanowane zostały dochody ze sprzedaży mienia gminy w wysokości             500 000 złotych ze sprzedaży tych obiektów gminnych które nie zostały sprzedane w 2019r tj: działek nad J Rydzówka, Obiektu po szkole w Jegławkach ( wartość z wyceny 1,5mln. zł) , mieszkań i lokali użytkowych, działek rolnych.</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1A1205">
        <w:rPr>
          <w:rFonts w:ascii="Bookman Old Style" w:hAnsi="Bookman Old Style" w:cs="Bookman Old Style"/>
          <w:color w:val="000000"/>
          <w:sz w:val="24"/>
          <w:szCs w:val="24"/>
        </w:rPr>
        <w:t xml:space="preserve">Do sprzedaży posiadamy już niewiele </w:t>
      </w:r>
      <w:r w:rsidRPr="001A1205">
        <w:rPr>
          <w:rFonts w:ascii="Bookman Old Style" w:hAnsi="Bookman Old Style" w:cs="Bookman Old Style"/>
          <w:sz w:val="24"/>
          <w:szCs w:val="24"/>
        </w:rPr>
        <w:t>lokali mieszkalnych dla lokatorów tj. około 25</w:t>
      </w:r>
      <w:r w:rsidRPr="001A1205">
        <w:rPr>
          <w:rFonts w:ascii="Bookman Old Style" w:hAnsi="Bookman Old Style" w:cs="Bookman Old Style"/>
          <w:color w:val="C00000"/>
          <w:sz w:val="24"/>
          <w:szCs w:val="24"/>
        </w:rPr>
        <w:t xml:space="preserve"> </w:t>
      </w:r>
      <w:r w:rsidRPr="001A1205">
        <w:rPr>
          <w:rFonts w:ascii="Bookman Old Style" w:hAnsi="Bookman Old Style" w:cs="Bookman Old Style"/>
          <w:sz w:val="24"/>
          <w:szCs w:val="24"/>
        </w:rPr>
        <w:t xml:space="preserve">, </w:t>
      </w:r>
      <w:r w:rsidRPr="001A1205">
        <w:rPr>
          <w:rFonts w:ascii="Bookman Old Style" w:hAnsi="Bookman Old Style" w:cs="Bookman Old Style"/>
          <w:color w:val="FF0000"/>
          <w:sz w:val="24"/>
          <w:szCs w:val="24"/>
        </w:rPr>
        <w:t xml:space="preserve"> </w:t>
      </w:r>
      <w:r w:rsidRPr="001A1205">
        <w:rPr>
          <w:rFonts w:ascii="Bookman Old Style" w:hAnsi="Bookman Old Style" w:cs="Bookman Old Style"/>
          <w:color w:val="000000"/>
          <w:sz w:val="24"/>
          <w:szCs w:val="24"/>
        </w:rPr>
        <w:t xml:space="preserve">budynek po dawnym młynie, zbędne obiekty po hydroforniach, dwie działki rekreacyjne  nad Jeziorem Rydzówka oraz 2,5 ha nad tym samym jeziorem na budowę hotelu lub pensjonatu jeżeli przetarg w 2019r nie dojdzie do skutku,  </w:t>
      </w:r>
      <w:r w:rsidRPr="001A1205">
        <w:rPr>
          <w:rFonts w:ascii="Bookman Old Style" w:hAnsi="Bookman Old Style" w:cs="Bookman Old Style"/>
          <w:sz w:val="24"/>
          <w:szCs w:val="24"/>
        </w:rPr>
        <w:t xml:space="preserve">działkę  po żwirowni w  Bajorach </w:t>
      </w:r>
      <w:r w:rsidRPr="001A1205">
        <w:rPr>
          <w:rFonts w:ascii="Bookman Old Style" w:hAnsi="Bookman Old Style" w:cs="Bookman Old Style"/>
          <w:color w:val="000000"/>
          <w:sz w:val="24"/>
          <w:szCs w:val="24"/>
        </w:rPr>
        <w:t>a także inne działki rolne, działki budowlane na ulicy Barciańskiej, Wileńskiej oraz  działki budowlane usługowo-mieszkalne na ul  Wileńskiej i Zjazdowej w Srokowie.</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Szacunkowa wartość wymienionych nieruchomości do sprzedaży opiewa na kwotę około 3 mln. złotych.  Plan sprzedaży jest dużo niższy ponieważ z doświadczeń z lat ubiegłych z pewnością nie uda nam się sprzedać  zarówno w 2019r jak i 2020r wszystkiego co zaplanowaliśmy do  sprzedaży. Poza tym ceny nieruchomości bardzo spadły ale  zainteresowanie obiektami na Mazurach jest. Ze względu na dobrą kondycję  Gminy , nie ma potrzeby  pozbywać się mienia  na "siłę".</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Struktura planowanych dochodów budżetowych w 2020r:</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subwencje stanowią kwotę 5 994 554 zł tj. 31,51 % dochodów budżetowych</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lastRenderedPageBreak/>
        <w:t>dotacje na zadania zlecone to kwota 5 197 616 zł. tj. 27, 32%  dochodów budżetowych wzrost o 30%</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dotacje na realizacje zadań współfinansowanych ze środków  Rybactwo    i Morze .  tj. 300 000zł  1,57%,</w:t>
      </w:r>
    </w:p>
    <w:p w:rsidR="00BB4BDF" w:rsidRPr="001A1205" w:rsidRDefault="00BB4BDF" w:rsidP="00BB4BDF">
      <w:pPr>
        <w:widowControl w:val="0"/>
        <w:tabs>
          <w:tab w:val="left" w:pos="786"/>
          <w:tab w:val="left" w:pos="1572"/>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s>
        <w:autoSpaceDE w:val="0"/>
        <w:autoSpaceDN w:val="0"/>
        <w:adjustRightInd w:val="0"/>
        <w:spacing w:after="0" w:line="276" w:lineRule="auto"/>
        <w:ind w:left="786" w:hanging="360"/>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dotacje celowe na zadania własne gminy stanowią kwotę 704 591  zł tj. 3,70  % dochodów budżetowych</w:t>
      </w:r>
    </w:p>
    <w:p w:rsidR="00BB4BDF" w:rsidRPr="001A1205" w:rsidRDefault="00BB4BDF" w:rsidP="00BB4BDF">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udział w dochodach budżetu państwa( podatku dochodowym ) to kwota  1 997 737 zł –tj. 10,50 % dochodów budżetowych,</w:t>
      </w:r>
    </w:p>
    <w:p w:rsidR="00BB4BDF" w:rsidRPr="001A1205" w:rsidRDefault="00BB4BDF" w:rsidP="00BB4BDF">
      <w:pPr>
        <w:widowControl w:val="0"/>
        <w:tabs>
          <w:tab w:val="left" w:pos="786"/>
          <w:tab w:val="left" w:pos="1572"/>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s>
        <w:autoSpaceDE w:val="0"/>
        <w:autoSpaceDN w:val="0"/>
        <w:adjustRightInd w:val="0"/>
        <w:spacing w:after="0" w:line="276" w:lineRule="auto"/>
        <w:ind w:left="786" w:hanging="360"/>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pozostałe dochody (własne ogółem)  4 820 014,66 zł  tj. 25,38% dochodów budżetowych w tym dochody ze sprzedaży i dzierżawy majątku  gminy –503 000zł tj. 2,65 % dochodów ogółem. W tym dotacje na inwestycje 744 768,84 zł</w:t>
      </w:r>
    </w:p>
    <w:p w:rsidR="00BB4BDF" w:rsidRPr="001A1205" w:rsidRDefault="00BB4BDF" w:rsidP="00BB4BDF">
      <w:pPr>
        <w:widowControl w:val="0"/>
        <w:tabs>
          <w:tab w:val="left" w:pos="786"/>
          <w:tab w:val="left" w:pos="1572"/>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s>
        <w:autoSpaceDE w:val="0"/>
        <w:autoSpaceDN w:val="0"/>
        <w:adjustRightInd w:val="0"/>
        <w:spacing w:after="0" w:line="276" w:lineRule="auto"/>
        <w:ind w:left="786" w:hanging="360"/>
        <w:jc w:val="both"/>
        <w:rPr>
          <w:rFonts w:ascii="Bookman Old Style" w:hAnsi="Bookman Old Style" w:cs="Bookman Old Style"/>
          <w:color w:val="FF0000"/>
          <w:sz w:val="24"/>
          <w:szCs w:val="24"/>
        </w:rPr>
      </w:pPr>
    </w:p>
    <w:p w:rsidR="00BB4BDF" w:rsidRPr="001A1205" w:rsidRDefault="00BB4BDF" w:rsidP="00BB4B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Wszystkie sołectwa złożyły wnioski do budżetu na realizację zadań w ramach funduszu sołeckiego. Zadania do realizacji w ramach funduszy sołeckich zaplanowane zostały w poszczególnych działach i rozdziałach budżetu na łączną kwotę -230 454,04zł. co stanowi 1,11,%  wydatków ogółem .</w:t>
      </w:r>
    </w:p>
    <w:p w:rsidR="00BB4BDF" w:rsidRPr="001A1205" w:rsidRDefault="00BB4BDF" w:rsidP="00BB4B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W budżecie na 2020r. zabezpieczone zostały środki na realizację obligatoryjnych zadań własnych i zleconych. Wydatki bieżące zaplanowane zostały ze wzrostem średnio od 2% do 6% dla powtarzających się wydatków rzeczowych. W niektórych wydatkach zachowano poziom 2019r. Już dziś wiadomo,  że  od stycznia nastąpi  wzrost cen energii elektrycznej , gazu, wody, opłat za ścieki  i  śmieci. Nie wiadomo jak  wielkie będą te podwyżki.</w:t>
      </w:r>
    </w:p>
    <w:p w:rsidR="00BB4BDF" w:rsidRPr="001A1205" w:rsidRDefault="00BB4BDF" w:rsidP="00BB4B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W budżecie gminy dla poszczególnych jednostek budżetowych i instytucji kultury  uwzględniono kwoty środków na podwyżki tj. około 6% . Nie będzie to jednak waloryzacja wynagrodzeń. Zgodne z założeniami i projektem budżetu państwa nie założono podwyżek dla nauczycieli od 1 stycznia 2020r.</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Tak jak i latach poprzednich na rok 2020r. zaplanowane zostały zadania realizowane na podstawie porozumień pomiędzy jednostkami samorządowymi, tj.- planowany pobyt dzieci z naszej Gminy w przedszkolach na terenie innych</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   gmin – planujemy zapłacić kwotę 28 000 zł.</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Zakład Gospodarki Komunalnej i Mieszkaniowej otrzyma dotację przedmiotową w kwocie 47 600 zł (tj. w wysokości 0,70 zł do m3 ścieków) przy zakładanej ilości odbioru ścieków 68 000m3.( dopłata na poziomie 2017r )oraz 567 260zł dotacja na dowożenie dzieci do szkół( stawka 3,5 zł. do km )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Gminny Ośrodek Kultury jako instytucja kultury i sportu, otrzyma w 2020r dotację na wydatki bieżące  w wysokości 652 400zł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p>
    <w:p w:rsidR="00BB4BDF" w:rsidRPr="001A1205" w:rsidRDefault="00BB4BDF" w:rsidP="00BB4B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4"/>
          <w:szCs w:val="24"/>
        </w:rPr>
      </w:pPr>
      <w:r w:rsidRPr="001A1205">
        <w:rPr>
          <w:rFonts w:ascii="Bookman Old Style" w:hAnsi="Bookman Old Style" w:cs="Bookman Old Style"/>
          <w:color w:val="000000"/>
          <w:sz w:val="24"/>
          <w:szCs w:val="24"/>
        </w:rPr>
        <w:t xml:space="preserve">Rezerwy zaplanowane zostały w kwocie 408 730 zł w tym ogólna 51 000 zł, na rezerwy celowe przeznacza kwotę 298 730zł w tym na : na zarządzanie </w:t>
      </w:r>
      <w:r w:rsidRPr="001A1205">
        <w:rPr>
          <w:rFonts w:ascii="Bookman Old Style" w:hAnsi="Bookman Old Style" w:cs="Bookman Old Style"/>
          <w:color w:val="000000"/>
          <w:sz w:val="24"/>
          <w:szCs w:val="24"/>
        </w:rPr>
        <w:lastRenderedPageBreak/>
        <w:t>kryzysowe- 55 000zł, na dofinansowanie do projektów zewnętrznych tzw. „miękkich” 20 000zł, celowa na odprawy emerytalne 232 730 zł  oraz na zadania inwestycyjne  50 000zł (na min.  ewentualny udział własny do złożonych projektów).</w:t>
      </w:r>
    </w:p>
    <w:p w:rsidR="00BB4BDF" w:rsidRPr="001A1205" w:rsidRDefault="00BB4BDF" w:rsidP="00BB4BD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76" w:lineRule="auto"/>
        <w:jc w:val="both"/>
        <w:rPr>
          <w:rFonts w:ascii="Bookman Old Style" w:hAnsi="Bookman Old Style" w:cs="Bookman Old Style"/>
          <w:color w:val="FF0000"/>
          <w:sz w:val="24"/>
          <w:szCs w:val="24"/>
        </w:rPr>
      </w:pPr>
    </w:p>
    <w:p w:rsidR="00BB4BDF" w:rsidRPr="001A1205" w:rsidRDefault="00BB4BDF" w:rsidP="00BB4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rPr>
      </w:pPr>
      <w:r w:rsidRPr="001A1205">
        <w:rPr>
          <w:rFonts w:ascii="Bookman Old Style" w:hAnsi="Bookman Old Style" w:cs="Bookman Old Style"/>
          <w:sz w:val="24"/>
          <w:szCs w:val="24"/>
        </w:rPr>
        <w:t>W październiku złożone zostały dwa wnioski  do LGR  w Węgorzewie na  dalsze zagospodarowanie Kompleksu nad Jeziorem Rydzówka  ( budowa 3 wyposażonych  domków kempingowych oraz 2 pomostów nad Jeziorem Silec w Silcu i Młynowie , drugi złożony projekt dotyczy utworzenia  szkoły żeglarskiej  na Kompleksie dotyczy on zakupu 4 żaglówek typy Omega , 6 szt. typu   Optimist, 2 łodzi motorowych  oraz  jednego  jachtu na 6 osób . W szkółce można będzie zdobywać patenty żeglarskie. Żaglówki i jacht można będzie wynajmować . Oba projekty  po pozytywnej ocenie Rady LGR. Realizowany będzie również   projekt „Miejsca aktywnej rekreacji  na terenie gminy Srokowo  również ze   środków „ PO RYBY  poprzez LGR  Węgorzewo</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PO wykonaniu dokumentacji na termomodernizację obiektów szkoły i GOK będziemy  poszukiwali środków na realizację tych zadań.</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 xml:space="preserve">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1A1205">
        <w:rPr>
          <w:rFonts w:ascii="Bookman Old Style" w:hAnsi="Bookman Old Style" w:cs="Bookman Old Style"/>
          <w:color w:val="000000"/>
          <w:sz w:val="24"/>
          <w:szCs w:val="24"/>
        </w:rPr>
        <w:t xml:space="preserve">Na zadania z zakresu przebudowy wodociągu w Srokowie, budowę wodociągu na kolonię w Sińcu również  będziemy składali wnioski   w momencie ogłoszenia konkursu przez Urząd Marszałkowski z oszczędności z poprzednich konkursów. W budżecie zabezpieczamy jednak sytuację zaciągnięcia pożyczki z WFOŚ I GW oznacza to alternatywę i  determinację do realizacji tego zadnia .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W 2017roku rozpoczęliśmy  program dofinansowania budowy oczyszczalni przydomowych. Dotychczas dofinansowaliśmy budowę 36 oczyszczali przydomowych. Program  budzi wielkie zainteresowanie wśród mieszkańców co oznacza właściwe i celowe  wykorzystanie pieniędzy gminnych. Program ten  potrzebny jest nie tylko mieszkańcom ale  również dla gminy, ponieważ rozwiązuje problemy związane z odprowadzaniem ścieków w miejscowościach gdzie budowa sieci kanalizacyjnej jest nieuzasadniona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rPr>
      </w:pPr>
      <w:r w:rsidRPr="001A1205">
        <w:rPr>
          <w:rFonts w:ascii="Bookman Old Style" w:hAnsi="Bookman Old Style" w:cs="Bookman Old Style"/>
          <w:sz w:val="24"/>
          <w:szCs w:val="24"/>
        </w:rPr>
        <w:t xml:space="preserve"> Utrzymanie ceny żyta na poziomie niewiele wyższym od ubiegłego roku, oraz niewielki wzrost  ceny drewna tartacznego (wykorzystywaną  w celu naliczenia podatku leśnego) , niewielki wzrost podatku od nieruchomości  spowoduje to że  wpływy z podatków i opłat lokalnych niewiele wzrosną i kondycja finansowa gminy za wiele się nie poprawi Na ten fakt mają również wielki wpływ działania   rządu  dotyczące zwolnienia z podatku dochodowego osób do 26 roku życia ( utrata około 300 tys. zł). Udział w podatku dochodowym od osób fizycznych wnosi ogółem  w  2020 roku 38,16%. Zmniejszona została w bieżącym roku subwencja  oświatowa  o kwotę 226 494 zł. pomimo zastosowania podwyżek płac o 9,6 % dla nauczycieli od września ubiegłego roku . Sprzedaż mienia jest dosyć trudna, tzn. trudno o nabywców, przetargi nie przynoszą oczekiwanych </w:t>
      </w:r>
      <w:r w:rsidRPr="001A1205">
        <w:rPr>
          <w:rFonts w:ascii="Bookman Old Style" w:hAnsi="Bookman Old Style" w:cs="Bookman Old Style"/>
          <w:sz w:val="24"/>
          <w:szCs w:val="24"/>
        </w:rPr>
        <w:lastRenderedPageBreak/>
        <w:t xml:space="preserve">rozstrzygnięć. Nadal właściciel nieruchomości byłej  hali produkcyjnej po POM- ie nie uruchomił żadnej działalności. Nowy właściciel obiektu po  byłym GS na ul Węgorzewskiej od roku czyni starania i zagospodarowuje nabytą nieruchomość . Jest to nadzieja na nowe miejsca pracy, zwiększone wpływy z podatku od nieruchomości i podatku dochodowego od działalności gospodarczej. Na tym obiekcie trwają  przygotowania  do  powstania stacji diagnostycznej, myjni samochodowej i zakładu wulkanizacyjnego (być może również stacji demontażu pojazdów). Powstała w 2017r strzelnica sportowa spowodowała, że do Srokowa przyjeżdża coraz więcej ludzi -turystów i widać tu ewidentny brak małej gastronomi oraz miejsc noclegowych. Istniejące gospodarstwa agroturystyczne nie są już wystarczające lub ich poziom jest niewystarczający. Brak nowych inwestorów na terenie gminy staje się problemem w rozwoju gminy.  Priorytetowym naszym zadaniem jest pozyskanie nowych inwestorów. Musimy w tym celu opracować długofalowy plan rozwoju  gminy i przygotować poważną ofertę dla inwestorów .  Ponieważ, jak  już było to powiedziane sprzedaż mienia to nie jest działanie, które rozwiąże nasz problem z bezrobociem i małymi dochodami gminy. Roboty publiczne  i prace interwencyjne to działanie doraźne a nie rozwiązanie na stałe. Musimy  poszukiwać inwestorów zewnętrznych, którzy uruchomiliby działalność przynoszącą gminie stałe dochody z podatku od nieruchomości oraz podatku dochodowego i dałoby zatrudnienie naszym  mieszkańcom. Jesteśmy gminą nie posiadającą żadnego przemysłu, kopalin, ani też nie posiadamy lokalnych przedsiębiorstw płacących podatek dochodowy. Dochody z subwencji                  i podatków z rolnictwa pozwalają nam tylko na skromne utrzymanie zadań obligatoryjnych, a nie na rozwój gminy. Chociaż pomimo tych problemów  od lat gmina stale się rozwija. Przez okres samorządu tj. 28 lat stała się gminą zwodociągowaną, skanalizowaną i posiadającą sieć gazową , hale sportowe , obiekt Gminnego Ośrodka Kultury,  zaadaptowane zostały byłe   zlewnie mleka na piękne świetlice, dobrze wyposażona jest  szkoła, wybudowany kompleks rekreacyjny nad J. Rydzówka,  ułożony starobruk na Placu Rynkowym w Srokowie, wybudowane chodniki, zmodernizowane kilometry  dróg (w ostatnim okresie 2017-2019 około 5 km nawierzchni asfaltowej oraz 1km drogi na Pieczarki – realizacja do końca 2019r ). To tylko część zrealizowanych zadań. Staramy się jak możemy, żeby zachęcić mieszańców do pozostania w gminie lub zamieszkania na terenie gminy. Niestety jest to zjawisko które dotyka wszystkie gminy wiejskie. Chociaż ostatnio zauważalny jest niewielki  wzrost zainteresowania zamieszkaniem na naszym terenie.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 xml:space="preserve">Przedkładany projekt budżetu jest bardzo ograniczonym w wydatkach bieżących i ściśle określony w wydatkach inwestycyjnych, ale indywidualny wskaźnik zadłużenia dla każdej gminy, powoduje zabezpieczenia  wydatków obligatoryjnych, natomiast pozostałe ogranicza. Na chwile obecną sytuacja </w:t>
      </w:r>
      <w:r w:rsidRPr="001A1205">
        <w:rPr>
          <w:rFonts w:ascii="Bookman Old Style" w:hAnsi="Bookman Old Style" w:cs="Bookman Old Style"/>
          <w:sz w:val="24"/>
          <w:szCs w:val="24"/>
        </w:rPr>
        <w:lastRenderedPageBreak/>
        <w:t>finansowa gminy jest bardzo korzystna jeżeli chodzi o możliwość kredytowania się gminy. Zadłużenie  na koniec roku 2019 będzie wynosiło  1 300  000 zł.  Spłaty roczne to kwoty po 450 000zł  w 2020 -2021 oraz w 2022r 400 tys. zł. Spłaty zadłużenia nie spowodują wielkiego zakłócenia  w realizacji budżetów. Oprocentowanie wszystkich pożyczek i kredytu opiewa na 2,48-do 3,5% w stosunku rocznym od niespłaconych kwot. Jest to bardzo korzystne oprocentowanie dla Gminy.</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 xml:space="preserve"> Dopuszczalny wskaźnik zadłużenia   dla naszej gminy na lata 2020  -2024 wskazany jest w Wieloletniej Prognozie Finansowej.</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Obecnie planowane do zaciągnięcia pożyczki  będą na podobnym poziomie oprocentowania.</w:t>
      </w:r>
    </w:p>
    <w:p w:rsidR="00BB4BDF" w:rsidRPr="001A1205" w:rsidRDefault="00BB4BDF" w:rsidP="00BB4B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4"/>
          <w:szCs w:val="24"/>
        </w:rPr>
      </w:pPr>
    </w:p>
    <w:p w:rsidR="00BB4BDF" w:rsidRPr="001A1205" w:rsidRDefault="00BB4BDF" w:rsidP="00BB4B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Przetargi na wykonanie  zadań zawartych do realizacji w niniejszym projekcie mogą przynieść  oszczędności, które można będzie ująć w budżecie na  dodatkowe nie ujęte  obecnie zadania.</w:t>
      </w:r>
    </w:p>
    <w:p w:rsidR="00BB4BDF" w:rsidRPr="001A1205" w:rsidRDefault="00BB4BDF" w:rsidP="00BB4BD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4"/>
          <w:szCs w:val="24"/>
        </w:rPr>
      </w:pPr>
      <w:r w:rsidRPr="001A1205">
        <w:rPr>
          <w:rFonts w:ascii="Bookman Old Style" w:hAnsi="Bookman Old Style" w:cs="Bookman Old Style"/>
          <w:sz w:val="24"/>
          <w:szCs w:val="24"/>
        </w:rPr>
        <w:t>Staramy się utrzymać  wysoki wskaźnik indywidualny dla gminy na potrzeby kredytowania się gminy w dalszych latach. Dotychczas korzystaliśmy z pożyczek w Wojewódzkim Funduszu Ochrony Środowiska , Europejskim Funduszu Rozwoju Wsi Polskiej oraz  Banku Gospodarstwa Krajowego ( na wyprzedzające finansowanie ). Wszystkie te instytucje  gwarantują bardzo korzystne warunki oprocentowania a poza tym  nie wymagają przetargów a to obniża koszty i nie ogranicza nas czasowo. Nadal pozostaniemy przy zaciąganiu pożyczek w tych instytucjach.</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 xml:space="preserve">Tak jak każdy samorząd jesteśmy zobligowani ustawą o finansach publicznych, która zobowiązuje nas do tego aby obligatoryjnie wydatki bieżące pokrywać dochodami bieżącymi natomiast dochody majątkowe musimy przeznaczyć na wydatki majątkowe. W budżecie na 2020r część dochodów bieżących musimy przeznaczyć na zadania inwestycyjne. Spowodowane jest to tym, iż zaplanowane zostały dosyć duże wydatki na inwestycje, ale ich realizacja spowoduje  poprawę jakości dostarczanej mieszańcom wody a także jakości życia naszych mieszkańców. Staramy się wykonywać te inwestycje na które można pozyskać dofinansowanie .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W 2020 roku  musimy spłacać raty  dwóch pożyczek tj. w:</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*EFRWP w wysokości 250 tys. złotych</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 xml:space="preserve"> * bank – kredyt  komercyjny w wysokości 200 tys. zł.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t>Część wnioskowanych zadań niestety nie została przyjęta do realizacji  w bieżącym roku. Dużo złożonych wniosków dotyczyło budowy oświetlenia ulic     i dróg oraz placów. W 2020r. poza zadaniami z funduszu sołectw kontynuujemy  zadnie polegające przede wszystkim na wymianie oraz montażu kilku nowych energooszczędnych lamp w miejscowościach. Ponieważ nie udała się  już w 2019r wykonać części opracowań, założeń i audytów min na termomodernizacje zadania te zostają przeniesione do realizacji na 2020r .</w:t>
      </w:r>
    </w:p>
    <w:p w:rsidR="00BB4BDF" w:rsidRPr="001A1205" w:rsidRDefault="00BB4BDF" w:rsidP="00BB4B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4"/>
          <w:szCs w:val="24"/>
        </w:rPr>
      </w:pPr>
      <w:r w:rsidRPr="001A1205">
        <w:rPr>
          <w:rFonts w:ascii="Bookman Old Style" w:hAnsi="Bookman Old Style" w:cs="Bookman Old Style"/>
          <w:sz w:val="24"/>
          <w:szCs w:val="24"/>
        </w:rPr>
        <w:lastRenderedPageBreak/>
        <w:t xml:space="preserve"> W przypadku zwiększenia ponadplanowych  bieżących dochodów własnych, uzyskania  oszczędności po przetargach oraz w miarę możliwości  pozyskiwania dodatkowych źródeł przychodu,  wnioski złożone, a nie przyjęte do realizacji  na ten rok mogą mieć  szansę na ich realizację.  W przypadku zwiększonej kwoty uzyskanej ze sprzedaży majątku gminy środki te przeznaczone zostaną na zadania inwestycyjne nie ujęte do budżetu m.in na dalszą modernizację dróg.</w:t>
      </w:r>
    </w:p>
    <w:p w:rsidR="00841696"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rsidR="00841696"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rsidR="00841696"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rsidR="00841696" w:rsidRPr="001A1205"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r w:rsidRPr="001A1205">
        <w:rPr>
          <w:rFonts w:ascii="Bookman Old Style" w:hAnsi="Bookman Old Style" w:cs="Bookman Old Style"/>
          <w:sz w:val="24"/>
          <w:szCs w:val="24"/>
        </w:rPr>
        <w:t>Wójt Gminy</w:t>
      </w:r>
    </w:p>
    <w:p w:rsidR="00841696" w:rsidRPr="001A1205"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p>
    <w:p w:rsidR="00841696" w:rsidRPr="001A1205" w:rsidRDefault="00841696" w:rsidP="008416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4"/>
          <w:szCs w:val="24"/>
        </w:rPr>
      </w:pPr>
      <w:bookmarkStart w:id="0" w:name="_GoBack"/>
      <w:bookmarkEnd w:id="0"/>
      <w:r w:rsidRPr="001A1205">
        <w:rPr>
          <w:rFonts w:ascii="Bookman Old Style" w:hAnsi="Bookman Old Style" w:cs="Bookman Old Style"/>
          <w:sz w:val="24"/>
          <w:szCs w:val="24"/>
        </w:rPr>
        <w:t>Marek Olszewski</w:t>
      </w:r>
    </w:p>
    <w:p w:rsidR="002C2D9F" w:rsidRDefault="002C2D9F"/>
    <w:sectPr w:rsidR="002C2D9F" w:rsidSect="009C46DE">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rPr>
        <w:rFonts w:ascii="Symbol" w:hAnsi="Symbol" w:cs="Symbol" w:hint="default"/>
        <w:b w:val="0"/>
        <w:bCs w:val="0"/>
        <w:i w:val="0"/>
        <w:iCs w:val="0"/>
        <w:strike w:val="0"/>
        <w:color w:val="000000"/>
        <w:sz w:val="28"/>
        <w:szCs w:val="28"/>
        <w:u w:val="none"/>
      </w:rPr>
    </w:lvl>
    <w:lvl w:ilvl="1">
      <w:start w:val="1"/>
      <w:numFmt w:val="bullet"/>
      <w:lvlText w:val=""/>
      <w:lvlJc w:val="left"/>
      <w:rPr>
        <w:rFonts w:ascii="Symbol" w:hAnsi="Symbol" w:cs="Symbol" w:hint="default"/>
        <w:b w:val="0"/>
        <w:bCs w:val="0"/>
        <w:i w:val="0"/>
        <w:iCs w:val="0"/>
        <w:strike w:val="0"/>
        <w:color w:val="000000"/>
        <w:sz w:val="28"/>
        <w:szCs w:val="28"/>
        <w:u w:val="none"/>
      </w:rPr>
    </w:lvl>
    <w:lvl w:ilvl="2">
      <w:start w:val="1"/>
      <w:numFmt w:val="bullet"/>
      <w:lvlText w:val=""/>
      <w:lvlJc w:val="left"/>
      <w:rPr>
        <w:rFonts w:ascii="Symbol" w:hAnsi="Symbol" w:cs="Symbol" w:hint="default"/>
        <w:b w:val="0"/>
        <w:bCs w:val="0"/>
        <w:i w:val="0"/>
        <w:iCs w:val="0"/>
        <w:strike w:val="0"/>
        <w:color w:val="000000"/>
        <w:sz w:val="28"/>
        <w:szCs w:val="28"/>
        <w:u w:val="none"/>
      </w:rPr>
    </w:lvl>
    <w:lvl w:ilvl="3">
      <w:start w:val="1"/>
      <w:numFmt w:val="bullet"/>
      <w:lvlText w:val=""/>
      <w:lvlJc w:val="left"/>
      <w:rPr>
        <w:rFonts w:ascii="Symbol" w:hAnsi="Symbol" w:cs="Symbol" w:hint="default"/>
        <w:b w:val="0"/>
        <w:bCs w:val="0"/>
        <w:i w:val="0"/>
        <w:iCs w:val="0"/>
        <w:strike w:val="0"/>
        <w:color w:val="000000"/>
        <w:sz w:val="28"/>
        <w:szCs w:val="28"/>
        <w:u w:val="none"/>
      </w:rPr>
    </w:lvl>
    <w:lvl w:ilvl="4">
      <w:start w:val="1"/>
      <w:numFmt w:val="bullet"/>
      <w:lvlText w:val=""/>
      <w:lvlJc w:val="left"/>
      <w:rPr>
        <w:rFonts w:ascii="Symbol" w:hAnsi="Symbol" w:cs="Symbol" w:hint="default"/>
        <w:b w:val="0"/>
        <w:bCs w:val="0"/>
        <w:i w:val="0"/>
        <w:iCs w:val="0"/>
        <w:strike w:val="0"/>
        <w:color w:val="000000"/>
        <w:sz w:val="28"/>
        <w:szCs w:val="28"/>
        <w:u w:val="none"/>
      </w:rPr>
    </w:lvl>
    <w:lvl w:ilvl="5">
      <w:start w:val="1"/>
      <w:numFmt w:val="bullet"/>
      <w:lvlText w:val=""/>
      <w:lvlJc w:val="left"/>
      <w:rPr>
        <w:rFonts w:ascii="Symbol" w:hAnsi="Symbol" w:cs="Symbol" w:hint="default"/>
        <w:b w:val="0"/>
        <w:bCs w:val="0"/>
        <w:i w:val="0"/>
        <w:iCs w:val="0"/>
        <w:strike w:val="0"/>
        <w:color w:val="000000"/>
        <w:sz w:val="28"/>
        <w:szCs w:val="28"/>
        <w:u w:val="none"/>
      </w:rPr>
    </w:lvl>
    <w:lvl w:ilvl="6">
      <w:start w:val="1"/>
      <w:numFmt w:val="bullet"/>
      <w:lvlText w:val=""/>
      <w:lvlJc w:val="left"/>
      <w:rPr>
        <w:rFonts w:ascii="Symbol" w:hAnsi="Symbol" w:cs="Symbol" w:hint="default"/>
        <w:b w:val="0"/>
        <w:bCs w:val="0"/>
        <w:i w:val="0"/>
        <w:iCs w:val="0"/>
        <w:strike w:val="0"/>
        <w:color w:val="000000"/>
        <w:sz w:val="28"/>
        <w:szCs w:val="28"/>
        <w:u w:val="none"/>
      </w:rPr>
    </w:lvl>
    <w:lvl w:ilvl="7">
      <w:start w:val="1"/>
      <w:numFmt w:val="bullet"/>
      <w:lvlText w:val=""/>
      <w:lvlJc w:val="left"/>
      <w:rPr>
        <w:rFonts w:ascii="Symbol" w:hAnsi="Symbol" w:cs="Symbol" w:hint="default"/>
        <w:b w:val="0"/>
        <w:bCs w:val="0"/>
        <w:i w:val="0"/>
        <w:iCs w:val="0"/>
        <w:strike w:val="0"/>
        <w:color w:val="000000"/>
        <w:sz w:val="28"/>
        <w:szCs w:val="28"/>
        <w:u w:val="none"/>
      </w:rPr>
    </w:lvl>
    <w:lvl w:ilvl="8">
      <w:start w:val="1"/>
      <w:numFmt w:val="bullet"/>
      <w:lvlText w:val=""/>
      <w:lvlJc w:val="left"/>
      <w:rPr>
        <w:rFonts w:ascii="Symbol" w:hAnsi="Symbol" w:cs="Symbol" w:hint="default"/>
        <w:b w:val="0"/>
        <w:bCs w:val="0"/>
        <w:i w:val="0"/>
        <w:iCs w:val="0"/>
        <w:strike w:val="0"/>
        <w:color w:val="00000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F"/>
    <w:rsid w:val="002C2D9F"/>
    <w:rsid w:val="00617C4C"/>
    <w:rsid w:val="006327E6"/>
    <w:rsid w:val="007217D0"/>
    <w:rsid w:val="007D57DD"/>
    <w:rsid w:val="00841696"/>
    <w:rsid w:val="009C46DE"/>
    <w:rsid w:val="00A6049F"/>
    <w:rsid w:val="00BB4BDF"/>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2ED"/>
  <w15:chartTrackingRefBased/>
  <w15:docId w15:val="{9CF68E07-976E-41B0-BD05-0B2E668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B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13910</Characters>
  <Application>Microsoft Office Word</Application>
  <DocSecurity>0</DocSecurity>
  <Lines>115</Lines>
  <Paragraphs>32</Paragraphs>
  <ScaleCrop>false</ScaleCrop>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2</cp:revision>
  <dcterms:created xsi:type="dcterms:W3CDTF">2019-12-23T13:40:00Z</dcterms:created>
  <dcterms:modified xsi:type="dcterms:W3CDTF">2019-12-23T13:41:00Z</dcterms:modified>
</cp:coreProperties>
</file>