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5DA" w14:textId="77777777" w:rsidR="0027631A" w:rsidRDefault="0027631A" w:rsidP="0027631A">
      <w:pPr>
        <w:pStyle w:val="Nagwek1"/>
        <w:spacing w:before="0" w:line="228" w:lineRule="auto"/>
        <w:ind w:right="650"/>
        <w:jc w:val="center"/>
        <w:rPr>
          <w:rFonts w:ascii="Bookman Old Style" w:hAnsi="Bookman Old Style"/>
          <w:spacing w:val="-6"/>
          <w:sz w:val="24"/>
          <w:szCs w:val="24"/>
        </w:rPr>
      </w:pPr>
    </w:p>
    <w:p w14:paraId="4D8AB3D1" w14:textId="77777777" w:rsidR="00D077DE" w:rsidRDefault="00D077DE" w:rsidP="00D077DE">
      <w:pPr>
        <w:pStyle w:val="Nagwek1"/>
        <w:spacing w:before="0" w:line="228" w:lineRule="auto"/>
        <w:ind w:right="650"/>
        <w:jc w:val="right"/>
        <w:rPr>
          <w:rFonts w:ascii="Bookman Old Style" w:hAnsi="Bookman Old Style"/>
          <w:b w:val="0"/>
          <w:bCs w:val="0"/>
          <w:spacing w:val="-6"/>
          <w:sz w:val="18"/>
          <w:szCs w:val="18"/>
        </w:rPr>
      </w:pPr>
      <w:r>
        <w:rPr>
          <w:rFonts w:ascii="Bookman Old Style" w:hAnsi="Bookman Old Style"/>
          <w:b w:val="0"/>
          <w:bCs w:val="0"/>
          <w:spacing w:val="-6"/>
          <w:sz w:val="18"/>
          <w:szCs w:val="18"/>
        </w:rPr>
        <w:t xml:space="preserve">Załącznik Nr 3 </w:t>
      </w:r>
    </w:p>
    <w:p w14:paraId="5D212B6C" w14:textId="77777777" w:rsidR="00D077DE" w:rsidRDefault="00D077DE" w:rsidP="00D077DE">
      <w:pPr>
        <w:pStyle w:val="Nagwek1"/>
        <w:spacing w:before="0" w:line="228" w:lineRule="auto"/>
        <w:ind w:right="650"/>
        <w:jc w:val="right"/>
        <w:rPr>
          <w:rFonts w:ascii="Bookman Old Style" w:hAnsi="Bookman Old Style"/>
          <w:b w:val="0"/>
          <w:bCs w:val="0"/>
          <w:spacing w:val="-6"/>
          <w:sz w:val="18"/>
          <w:szCs w:val="18"/>
        </w:rPr>
      </w:pPr>
      <w:r>
        <w:rPr>
          <w:rFonts w:ascii="Bookman Old Style" w:hAnsi="Bookman Old Style"/>
          <w:b w:val="0"/>
          <w:bCs w:val="0"/>
          <w:spacing w:val="-6"/>
          <w:sz w:val="18"/>
          <w:szCs w:val="18"/>
        </w:rPr>
        <w:t>do Uchwały Nr LXVII/369/2023</w:t>
      </w:r>
    </w:p>
    <w:p w14:paraId="5C8BA78C" w14:textId="77777777" w:rsidR="00D077DE" w:rsidRDefault="00D077DE" w:rsidP="00D077DE">
      <w:pPr>
        <w:pStyle w:val="Nagwek1"/>
        <w:spacing w:before="0" w:line="228" w:lineRule="auto"/>
        <w:ind w:right="650"/>
        <w:jc w:val="right"/>
        <w:rPr>
          <w:rFonts w:ascii="Bookman Old Style" w:hAnsi="Bookman Old Style"/>
          <w:b w:val="0"/>
          <w:bCs w:val="0"/>
          <w:spacing w:val="-6"/>
          <w:sz w:val="18"/>
          <w:szCs w:val="18"/>
        </w:rPr>
      </w:pPr>
      <w:r>
        <w:rPr>
          <w:rFonts w:ascii="Bookman Old Style" w:hAnsi="Bookman Old Style"/>
          <w:b w:val="0"/>
          <w:bCs w:val="0"/>
          <w:spacing w:val="-6"/>
          <w:sz w:val="18"/>
          <w:szCs w:val="18"/>
        </w:rPr>
        <w:t>Rady Gminy Srokowo z dnia 21 grudnia 2023 r.</w:t>
      </w:r>
    </w:p>
    <w:p w14:paraId="74A7937A" w14:textId="77777777" w:rsidR="00D077DE" w:rsidRDefault="00D077DE" w:rsidP="00D077DE">
      <w:pPr>
        <w:pStyle w:val="Nagwek1"/>
        <w:spacing w:before="0" w:line="228" w:lineRule="auto"/>
        <w:ind w:right="650"/>
        <w:jc w:val="center"/>
        <w:rPr>
          <w:rFonts w:ascii="Bookman Old Style" w:hAnsi="Bookman Old Style"/>
          <w:spacing w:val="-6"/>
          <w:sz w:val="24"/>
          <w:szCs w:val="24"/>
        </w:rPr>
      </w:pPr>
    </w:p>
    <w:p w14:paraId="5BD1A58E" w14:textId="77777777" w:rsidR="00D077DE" w:rsidRDefault="00D077DE" w:rsidP="00D077DE">
      <w:pPr>
        <w:pStyle w:val="Nagwek1"/>
        <w:spacing w:before="0" w:line="228" w:lineRule="auto"/>
        <w:ind w:right="650"/>
        <w:jc w:val="center"/>
        <w:rPr>
          <w:rFonts w:ascii="Bookman Old Style" w:hAnsi="Bookman Old Style"/>
          <w:spacing w:val="-6"/>
          <w:sz w:val="24"/>
          <w:szCs w:val="24"/>
        </w:rPr>
      </w:pPr>
    </w:p>
    <w:p w14:paraId="14C92AB4" w14:textId="77777777" w:rsidR="00D077DE" w:rsidRDefault="00D077DE" w:rsidP="00D077DE">
      <w:pPr>
        <w:pStyle w:val="Nagwek1"/>
        <w:spacing w:before="0" w:line="228" w:lineRule="auto"/>
        <w:ind w:right="65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Objaśnienia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przyjętych wartości do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Wieloletniej Prognozy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Finansowej </w:t>
      </w:r>
      <w:r>
        <w:rPr>
          <w:rFonts w:ascii="Bookman Old Style" w:hAnsi="Bookman Old Style"/>
          <w:sz w:val="24"/>
          <w:szCs w:val="24"/>
        </w:rPr>
        <w:t>Gminy</w:t>
      </w:r>
      <w:r>
        <w:rPr>
          <w:rFonts w:ascii="Bookman Old Style" w:hAnsi="Bookman Old Style"/>
          <w:spacing w:val="-1"/>
          <w:sz w:val="24"/>
          <w:szCs w:val="24"/>
        </w:rPr>
        <w:t xml:space="preserve"> Srokowo </w:t>
      </w:r>
      <w:r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lata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2024-2032</w:t>
      </w:r>
    </w:p>
    <w:p w14:paraId="0478075F" w14:textId="77777777" w:rsidR="00D077DE" w:rsidRDefault="00D077DE" w:rsidP="00D077DE">
      <w:pPr>
        <w:pStyle w:val="Tekstpodstawowy"/>
        <w:spacing w:before="268"/>
        <w:rPr>
          <w:rFonts w:ascii="Bookman Old Style" w:hAnsi="Bookman Old Style"/>
          <w:b/>
          <w:sz w:val="24"/>
          <w:szCs w:val="24"/>
        </w:rPr>
      </w:pPr>
    </w:p>
    <w:p w14:paraId="0BBF8209" w14:textId="77777777" w:rsidR="00D077DE" w:rsidRDefault="00D077DE" w:rsidP="00D077DE">
      <w:pPr>
        <w:pStyle w:val="Tekstpodstawowy"/>
        <w:spacing w:line="228" w:lineRule="auto"/>
        <w:ind w:left="116" w:right="328" w:firstLine="59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Podstawą opracowania Wieloletniej Prognozy Finansowej Gminy Srokowo jest projekt </w:t>
      </w:r>
      <w:r>
        <w:rPr>
          <w:rFonts w:ascii="Bookman Old Style" w:hAnsi="Bookman Old Style"/>
          <w:spacing w:val="-4"/>
          <w:sz w:val="24"/>
          <w:szCs w:val="24"/>
        </w:rPr>
        <w:t>uchwały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budżetowej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na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2024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rok,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wartości planowane na koniec </w:t>
      </w:r>
      <w:r>
        <w:rPr>
          <w:rFonts w:ascii="Bookman Old Style" w:hAnsi="Bookman Old Style"/>
          <w:sz w:val="24"/>
          <w:szCs w:val="24"/>
        </w:rPr>
        <w:br/>
        <w:t xml:space="preserve">III kwartału 2023 roku oraz wytyczne Ministra Finansów dotyczące założeń makroekonomicznych dla potrzeb sporządzania wieloletnich prognoz finansowych jednostek samorządu terytorialnego. </w:t>
      </w:r>
    </w:p>
    <w:p w14:paraId="4CEC416D" w14:textId="77777777" w:rsidR="00D077DE" w:rsidRDefault="00D077DE" w:rsidP="00D077DE">
      <w:pPr>
        <w:pStyle w:val="Tekstpodstawowy"/>
        <w:spacing w:before="286" w:line="228" w:lineRule="auto"/>
        <w:ind w:left="116" w:right="319" w:firstLine="59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Art.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227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ust.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1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ustawy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dnia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27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sierpnia 2009 roku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color w:val="1C1C1C"/>
          <w:spacing w:val="-4"/>
          <w:sz w:val="24"/>
          <w:szCs w:val="24"/>
        </w:rPr>
        <w:t>o</w:t>
      </w:r>
      <w:r>
        <w:rPr>
          <w:rFonts w:ascii="Bookman Old Style" w:hAnsi="Bookman Old Style"/>
          <w:color w:val="1C1C1C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finansach</w:t>
      </w:r>
      <w:r>
        <w:rPr>
          <w:rFonts w:ascii="Bookman Old Style" w:hAnsi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publicznych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(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t.j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>.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Dz.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U.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2023 </w:t>
      </w:r>
      <w:r>
        <w:rPr>
          <w:rFonts w:ascii="Bookman Old Style" w:hAnsi="Bookman Old Style"/>
          <w:sz w:val="24"/>
          <w:szCs w:val="24"/>
        </w:rPr>
        <w:t>r.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poz. 1270 z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późn.zm.) zakłada, iż wieloletnia prognoza finansowa obejmuje okres roku </w:t>
      </w:r>
      <w:r>
        <w:rPr>
          <w:rFonts w:ascii="Bookman Old Style" w:hAnsi="Bookman Old Style"/>
          <w:spacing w:val="-6"/>
          <w:sz w:val="24"/>
          <w:szCs w:val="24"/>
        </w:rPr>
        <w:t>budżetowego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oraz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co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najmniej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trzech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kolejnych lat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budżetowych.</w:t>
      </w:r>
      <w:r>
        <w:rPr>
          <w:rFonts w:ascii="Bookman Old Style" w:hAnsi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Z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ust.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2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powołanego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artykułu </w:t>
      </w:r>
      <w:r>
        <w:rPr>
          <w:rFonts w:ascii="Bookman Old Style" w:hAnsi="Bookman Old Style"/>
          <w:sz w:val="24"/>
          <w:szCs w:val="24"/>
        </w:rPr>
        <w:t xml:space="preserve">wynika, iż prognozę kwoty długu, stanowiącą integralną część wieloletniej prognozy </w:t>
      </w:r>
      <w:r>
        <w:rPr>
          <w:rFonts w:ascii="Bookman Old Style" w:hAnsi="Bookman Old Style"/>
          <w:spacing w:val="-6"/>
          <w:sz w:val="24"/>
          <w:szCs w:val="24"/>
        </w:rPr>
        <w:t>finansowej,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sporządza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się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okres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który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zaciągnięto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lub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planuje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się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zaciągnąć</w:t>
      </w:r>
      <w:r>
        <w:rPr>
          <w:rFonts w:ascii="Bookman Old Style" w:hAnsi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zobowiązanie. </w:t>
      </w:r>
      <w:r>
        <w:rPr>
          <w:rFonts w:ascii="Bookman Old Style" w:hAnsi="Bookman Old Style"/>
          <w:sz w:val="24"/>
          <w:szCs w:val="24"/>
        </w:rPr>
        <w:t>Na dzień</w:t>
      </w:r>
      <w:r>
        <w:rPr>
          <w:rFonts w:ascii="Bookman Old Style" w:hAnsi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podjęcia</w:t>
      </w:r>
      <w:r>
        <w:rPr>
          <w:rFonts w:ascii="Bookman Old Style" w:hAnsi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uchwały,</w:t>
      </w:r>
      <w:r>
        <w:rPr>
          <w:rFonts w:ascii="Bookman Old Style" w:hAnsi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spłatę kredytu w kwocie 4 000 000,- zł</w:t>
      </w:r>
      <w:r>
        <w:rPr>
          <w:rFonts w:ascii="Bookman Old Style" w:hAnsi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przewiduje</w:t>
      </w:r>
      <w:r>
        <w:rPr>
          <w:rFonts w:ascii="Bookman Old Style" w:hAnsi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się do roku</w:t>
      </w:r>
      <w:r>
        <w:rPr>
          <w:rFonts w:ascii="Bookman Old Style" w:hAnsi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2032.</w:t>
      </w:r>
      <w:r>
        <w:rPr>
          <w:rFonts w:ascii="Bookman Old Style" w:hAnsi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/>
          <w:spacing w:val="19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związku </w:t>
      </w:r>
      <w:r>
        <w:rPr>
          <w:rFonts w:ascii="Bookman Old Style" w:hAnsi="Bookman Old Style"/>
          <w:color w:val="0C0C0C"/>
          <w:spacing w:val="-6"/>
          <w:sz w:val="24"/>
          <w:szCs w:val="24"/>
        </w:rPr>
        <w:t>z</w:t>
      </w:r>
      <w:r>
        <w:rPr>
          <w:rFonts w:ascii="Bookman Old Style" w:hAnsi="Bookman Old Style"/>
          <w:color w:val="0C0C0C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powyższym,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Wieloletnia Prognoza Finansowa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Gminy</w:t>
      </w:r>
      <w:r>
        <w:rPr>
          <w:rFonts w:ascii="Bookman Old Style" w:hAnsi="Bookman Old Style"/>
          <w:sz w:val="24"/>
          <w:szCs w:val="24"/>
        </w:rPr>
        <w:t xml:space="preserve"> Srokowo</w:t>
      </w:r>
      <w:r>
        <w:rPr>
          <w:rFonts w:ascii="Bookman Old Style" w:hAnsi="Bookman Old Style"/>
          <w:spacing w:val="-6"/>
          <w:sz w:val="24"/>
          <w:szCs w:val="24"/>
        </w:rPr>
        <w:t xml:space="preserve"> została przygotowana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lata </w:t>
      </w:r>
      <w:r>
        <w:rPr>
          <w:rFonts w:ascii="Bookman Old Style" w:hAnsi="Bookman Old Style"/>
          <w:spacing w:val="-2"/>
          <w:sz w:val="24"/>
          <w:szCs w:val="24"/>
        </w:rPr>
        <w:t>2024-2032.</w:t>
      </w:r>
    </w:p>
    <w:p w14:paraId="1E96C83E" w14:textId="77777777" w:rsidR="00D077DE" w:rsidRDefault="00D077DE" w:rsidP="00D077DE">
      <w:pPr>
        <w:pStyle w:val="Tekstpodstawowy"/>
        <w:spacing w:before="279" w:line="228" w:lineRule="auto"/>
        <w:ind w:left="127" w:right="307" w:firstLine="58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Kwoty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wydatków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wynikające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limitów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wydatków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przedsięwzięcia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nie</w:t>
      </w:r>
      <w:r>
        <w:rPr>
          <w:rFonts w:ascii="Bookman Old Style" w:hAnsi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wykraczają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poza okres prognozy kwoty długu. Nie planuje się także wydatków </w:t>
      </w:r>
      <w:r>
        <w:rPr>
          <w:rFonts w:ascii="Bookman Old Style" w:hAnsi="Bookman Old Style"/>
          <w:sz w:val="24"/>
          <w:szCs w:val="24"/>
        </w:rPr>
        <w:br/>
        <w:t>z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tytułu niewymagalnych </w:t>
      </w:r>
      <w:r>
        <w:rPr>
          <w:rFonts w:ascii="Bookman Old Style" w:hAnsi="Bookman Old Style"/>
          <w:spacing w:val="-2"/>
          <w:sz w:val="24"/>
          <w:szCs w:val="24"/>
        </w:rPr>
        <w:t>poręczeń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i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gwarancji, które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przekraczałyby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color w:val="050505"/>
          <w:spacing w:val="-2"/>
          <w:sz w:val="24"/>
          <w:szCs w:val="24"/>
        </w:rPr>
        <w:t xml:space="preserve">okres </w:t>
      </w:r>
      <w:r>
        <w:rPr>
          <w:rFonts w:ascii="Bookman Old Style" w:hAnsi="Bookman Old Style"/>
          <w:spacing w:val="-2"/>
          <w:sz w:val="24"/>
          <w:szCs w:val="24"/>
        </w:rPr>
        <w:t>prognozy kwoty długu.</w:t>
      </w:r>
    </w:p>
    <w:p w14:paraId="198CBD9B" w14:textId="77777777" w:rsidR="00D077DE" w:rsidRDefault="00D077DE" w:rsidP="00D077DE">
      <w:pPr>
        <w:pStyle w:val="Nagwek1"/>
        <w:spacing w:before="276"/>
        <w:ind w:left="1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Założenia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makroekonomiczne</w:t>
      </w:r>
    </w:p>
    <w:p w14:paraId="475296EF" w14:textId="77777777" w:rsidR="00D077DE" w:rsidRDefault="00D077DE" w:rsidP="00D077DE">
      <w:pPr>
        <w:pStyle w:val="Tekstpodstawowy"/>
        <w:spacing w:before="274" w:line="228" w:lineRule="auto"/>
        <w:ind w:left="137" w:right="312" w:firstLine="57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 opracowaniu prognozy pozycji budżetowych Gminy Srokowo wykorzystano dwa podstawowe mierniki koniunktury gospodarczej </w:t>
      </w:r>
      <w:r>
        <w:rPr>
          <w:rFonts w:ascii="Bookman Old Style" w:hAnsi="Bookman Old Style"/>
          <w:w w:val="90"/>
          <w:sz w:val="24"/>
          <w:szCs w:val="24"/>
        </w:rPr>
        <w:t xml:space="preserve">— </w:t>
      </w:r>
      <w:r>
        <w:rPr>
          <w:rFonts w:ascii="Bookman Old Style" w:hAnsi="Bookman Old Style"/>
          <w:sz w:val="24"/>
          <w:szCs w:val="24"/>
        </w:rPr>
        <w:t xml:space="preserve">produkt krajowy brutto (PKB) oraz </w:t>
      </w:r>
      <w:r>
        <w:rPr>
          <w:rFonts w:ascii="Bookman Old Style" w:hAnsi="Bookman Old Style"/>
          <w:spacing w:val="-6"/>
          <w:sz w:val="24"/>
          <w:szCs w:val="24"/>
        </w:rPr>
        <w:t>wskaźnik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inflacji (CPI). Na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ich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podstawie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oszacowano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wartości dochodów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i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wydatków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Gminy </w:t>
      </w:r>
      <w:r>
        <w:rPr>
          <w:rFonts w:ascii="Bookman Old Style" w:hAnsi="Bookman Old Style"/>
          <w:sz w:val="24"/>
          <w:szCs w:val="24"/>
        </w:rPr>
        <w:t>Srokowo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dostosowane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color w:val="0C0C0C"/>
          <w:sz w:val="24"/>
          <w:szCs w:val="24"/>
        </w:rPr>
        <w:t>do</w:t>
      </w:r>
      <w:r>
        <w:rPr>
          <w:rFonts w:ascii="Bookman Old Style" w:hAnsi="Bookman Old Style"/>
          <w:color w:val="0C0C0C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realiów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regionu.</w:t>
      </w:r>
    </w:p>
    <w:p w14:paraId="46752E6F" w14:textId="77777777" w:rsidR="00D077DE" w:rsidRDefault="00D077DE" w:rsidP="00D077DE">
      <w:pPr>
        <w:pStyle w:val="Nagwek1"/>
        <w:spacing w:before="268"/>
        <w:ind w:left="1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Dochody</w:t>
      </w:r>
    </w:p>
    <w:p w14:paraId="18832979" w14:textId="77777777" w:rsidR="00D077DE" w:rsidRDefault="00D077DE" w:rsidP="00D077DE">
      <w:pPr>
        <w:pStyle w:val="Tekstpodstawowy"/>
        <w:spacing w:before="274" w:line="228" w:lineRule="auto"/>
        <w:ind w:left="152" w:right="294" w:firstLine="55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Prognozy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dochodów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Gminy</w:t>
      </w:r>
      <w:r>
        <w:rPr>
          <w:rFonts w:ascii="Bookman Old Style" w:hAnsi="Bookman Old Style"/>
          <w:spacing w:val="-15"/>
          <w:sz w:val="24"/>
          <w:szCs w:val="24"/>
        </w:rPr>
        <w:t xml:space="preserve"> Srokowo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dokonano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podziałach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merytorycznych,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następnie </w:t>
      </w:r>
      <w:r>
        <w:rPr>
          <w:rFonts w:ascii="Bookman Old Style" w:hAnsi="Bookman Old Style"/>
          <w:spacing w:val="-6"/>
          <w:sz w:val="24"/>
          <w:szCs w:val="24"/>
        </w:rPr>
        <w:t>sklasyfikowano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podziały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wymagane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ustawowo.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Podział merytoryczny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został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sporządzony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za </w:t>
      </w:r>
      <w:r>
        <w:rPr>
          <w:rFonts w:ascii="Bookman Old Style" w:hAnsi="Bookman Old Style"/>
          <w:spacing w:val="-2"/>
          <w:sz w:val="24"/>
          <w:szCs w:val="24"/>
        </w:rPr>
        <w:t>pomocą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paragrafów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klasyfikacji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budżetowej i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objął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dochody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bieżące i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majątkowe.</w:t>
      </w:r>
    </w:p>
    <w:p w14:paraId="7ADAD5EE" w14:textId="77777777" w:rsidR="00D077DE" w:rsidRDefault="00D077DE" w:rsidP="00D077DE">
      <w:pPr>
        <w:pStyle w:val="Tekstpodstawowy"/>
        <w:spacing w:before="271"/>
        <w:ind w:left="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Dochody</w:t>
      </w:r>
      <w:r>
        <w:rPr>
          <w:rFonts w:ascii="Bookman Old Style" w:hAnsi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bieżące</w:t>
      </w:r>
      <w:r>
        <w:rPr>
          <w:rFonts w:ascii="Bookman Old Style" w:hAnsi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prognozowano</w:t>
      </w:r>
      <w:r>
        <w:rPr>
          <w:rFonts w:ascii="Bookman Old Style" w:hAnsi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podziale</w:t>
      </w:r>
      <w:r>
        <w:rPr>
          <w:rFonts w:ascii="Bookman Old Style" w:hAnsi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na:</w:t>
      </w:r>
    </w:p>
    <w:p w14:paraId="384DF689" w14:textId="77777777" w:rsidR="00D077DE" w:rsidRDefault="00D077DE" w:rsidP="00D077DE">
      <w:pPr>
        <w:pStyle w:val="Akapitzlist"/>
        <w:widowControl w:val="0"/>
        <w:numPr>
          <w:ilvl w:val="0"/>
          <w:numId w:val="7"/>
        </w:numPr>
        <w:tabs>
          <w:tab w:val="left" w:pos="879"/>
        </w:tabs>
        <w:autoSpaceDE w:val="0"/>
        <w:autoSpaceDN w:val="0"/>
        <w:spacing w:before="27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dochody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tytułu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udziału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we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wpływach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podatku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dochodowego</w:t>
      </w:r>
      <w:r>
        <w:rPr>
          <w:rFonts w:ascii="Bookman Old Style" w:hAnsi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/>
          <w:color w:val="161616"/>
          <w:spacing w:val="-4"/>
          <w:sz w:val="24"/>
          <w:szCs w:val="24"/>
        </w:rPr>
        <w:t>od</w:t>
      </w:r>
      <w:r>
        <w:rPr>
          <w:rFonts w:ascii="Bookman Old Style" w:hAnsi="Bookman Old Style"/>
          <w:color w:val="161616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osób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fizycznych;</w:t>
      </w:r>
    </w:p>
    <w:p w14:paraId="21F7AEFA" w14:textId="77777777" w:rsidR="00D077DE" w:rsidRDefault="00D077DE" w:rsidP="00D077DE">
      <w:pPr>
        <w:pStyle w:val="Akapitzlist"/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48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dochody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tytułu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udziału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wpływach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podatku</w:t>
      </w:r>
      <w:r>
        <w:rPr>
          <w:rFonts w:ascii="Bookman Old Style" w:hAnsi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dochodowego</w:t>
      </w:r>
      <w:r>
        <w:rPr>
          <w:rFonts w:ascii="Bookman Old Style" w:hAnsi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/>
          <w:color w:val="0E0E0E"/>
          <w:spacing w:val="-4"/>
          <w:sz w:val="24"/>
          <w:szCs w:val="24"/>
        </w:rPr>
        <w:t>od</w:t>
      </w:r>
      <w:r>
        <w:rPr>
          <w:rFonts w:ascii="Bookman Old Style" w:hAnsi="Bookman Old Style"/>
          <w:color w:val="0E0E0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osób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prawnych;</w:t>
      </w:r>
    </w:p>
    <w:p w14:paraId="3600720E" w14:textId="77777777" w:rsidR="00D077DE" w:rsidRDefault="00D077DE" w:rsidP="00D077DE">
      <w:pPr>
        <w:pStyle w:val="Akapitzlist"/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63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subwencję</w:t>
      </w:r>
      <w:r>
        <w:rPr>
          <w:rFonts w:ascii="Bookman Old Style" w:hAnsi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ogólną;</w:t>
      </w:r>
    </w:p>
    <w:p w14:paraId="4A2456A1" w14:textId="77777777" w:rsidR="00D077DE" w:rsidRDefault="00D077DE" w:rsidP="00D077DE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60" w:after="0" w:line="230" w:lineRule="auto"/>
        <w:ind w:right="30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lastRenderedPageBreak/>
        <w:t>dotacje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i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środki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przeznaczone</w:t>
      </w:r>
      <w:r>
        <w:rPr>
          <w:rFonts w:ascii="Bookman Old Style" w:hAnsi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cele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bieżące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(na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zadania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zlecone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i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>zadania własne);</w:t>
      </w:r>
    </w:p>
    <w:p w14:paraId="6F1C4CA1" w14:textId="77777777" w:rsidR="00D077DE" w:rsidRDefault="00D077DE" w:rsidP="00D077DE">
      <w:pPr>
        <w:pStyle w:val="Akapitzlist"/>
        <w:widowControl w:val="0"/>
        <w:numPr>
          <w:ilvl w:val="0"/>
          <w:numId w:val="7"/>
        </w:numPr>
        <w:tabs>
          <w:tab w:val="left" w:pos="855"/>
        </w:tabs>
        <w:autoSpaceDE w:val="0"/>
        <w:autoSpaceDN w:val="0"/>
        <w:spacing w:before="55" w:after="0" w:line="432" w:lineRule="auto"/>
        <w:ind w:right="312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pozostałe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dochody</w:t>
      </w:r>
      <w:r>
        <w:rPr>
          <w:rFonts w:ascii="Bookman Old Style" w:hAnsi="Bookman Old Style"/>
          <w:spacing w:val="-8"/>
          <w:sz w:val="24"/>
          <w:szCs w:val="24"/>
        </w:rPr>
        <w:t xml:space="preserve"> własne</w:t>
      </w:r>
      <w:r>
        <w:rPr>
          <w:rFonts w:ascii="Bookman Old Style" w:hAnsi="Bookman Old Style"/>
          <w:spacing w:val="-4"/>
          <w:sz w:val="24"/>
          <w:szCs w:val="24"/>
        </w:rPr>
        <w:t>.</w:t>
      </w:r>
    </w:p>
    <w:p w14:paraId="2BB4BD24" w14:textId="77777777" w:rsidR="00D077DE" w:rsidRDefault="00D077DE" w:rsidP="00D077DE">
      <w:pPr>
        <w:tabs>
          <w:tab w:val="left" w:pos="855"/>
        </w:tabs>
        <w:spacing w:before="55" w:line="432" w:lineRule="auto"/>
        <w:ind w:left="142" w:right="312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Dochody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majątkowe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prognozowano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podziale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na:</w:t>
      </w:r>
    </w:p>
    <w:p w14:paraId="4FC8E345" w14:textId="77777777" w:rsidR="00D077DE" w:rsidRDefault="00D077DE" w:rsidP="00D077DE">
      <w:pPr>
        <w:pStyle w:val="Akapitzlist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spacing w:before="4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dochody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majątku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(w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color w:val="050505"/>
          <w:spacing w:val="-4"/>
          <w:sz w:val="24"/>
          <w:szCs w:val="24"/>
        </w:rPr>
        <w:t>tym</w:t>
      </w:r>
      <w:r>
        <w:rPr>
          <w:rFonts w:ascii="Bookman Old Style" w:hAnsi="Bookman Old Style"/>
          <w:color w:val="050505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sprzedaż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mienia);</w:t>
      </w:r>
    </w:p>
    <w:p w14:paraId="68C3BC0F" w14:textId="77777777" w:rsidR="00D077DE" w:rsidRDefault="00D077DE" w:rsidP="00D077DE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49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dotacje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i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środki przeznaczone</w:t>
      </w:r>
      <w:r>
        <w:rPr>
          <w:rFonts w:ascii="Bookman Old Style" w:hAnsi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inwestycje.</w:t>
      </w:r>
    </w:p>
    <w:p w14:paraId="38127E2A" w14:textId="77777777" w:rsidR="00D077DE" w:rsidRDefault="00D077DE" w:rsidP="00D077DE">
      <w:pPr>
        <w:pStyle w:val="Akapitzlist"/>
        <w:widowControl w:val="0"/>
        <w:tabs>
          <w:tab w:val="left" w:pos="851"/>
        </w:tabs>
        <w:autoSpaceDE w:val="0"/>
        <w:autoSpaceDN w:val="0"/>
        <w:spacing w:before="49" w:after="0" w:line="240" w:lineRule="auto"/>
        <w:ind w:left="142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Zasadniczą pozycję w dochodach majątkowych stanowią środki w ramach:</w:t>
      </w:r>
    </w:p>
    <w:p w14:paraId="387EEE9F" w14:textId="77777777" w:rsidR="00D077DE" w:rsidRDefault="00D077DE" w:rsidP="00D077DE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49"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Rządowego Funduszu Polski Ład: Program Inwestycji Strategicznych,</w:t>
      </w:r>
    </w:p>
    <w:p w14:paraId="789509AC" w14:textId="77777777" w:rsidR="00D077DE" w:rsidRDefault="00D077DE" w:rsidP="00D077DE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49"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Rządowego Programu Odbudowy Zabytków,</w:t>
      </w:r>
    </w:p>
    <w:p w14:paraId="08A1095E" w14:textId="77777777" w:rsidR="00D077DE" w:rsidRDefault="00D077DE" w:rsidP="00D077DE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49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Rządowego Funduszu Rozwoju Dróg.</w:t>
      </w:r>
    </w:p>
    <w:p w14:paraId="24F1149F" w14:textId="77777777" w:rsidR="00D077DE" w:rsidRDefault="00D077DE" w:rsidP="00D077DE">
      <w:pPr>
        <w:pStyle w:val="Tekstpodstawowy"/>
        <w:spacing w:line="276" w:lineRule="auto"/>
        <w:ind w:left="141" w:right="292" w:firstLine="567"/>
        <w:jc w:val="both"/>
        <w:rPr>
          <w:rFonts w:ascii="Bookman Old Style" w:hAnsi="Bookman Old Style"/>
          <w:spacing w:val="-2"/>
          <w:sz w:val="24"/>
          <w:szCs w:val="24"/>
        </w:rPr>
      </w:pPr>
    </w:p>
    <w:p w14:paraId="4FB0D773" w14:textId="77777777" w:rsidR="00D077DE" w:rsidRDefault="00D077DE" w:rsidP="00D077DE">
      <w:pPr>
        <w:pStyle w:val="Tekstpodstawowy"/>
        <w:spacing w:line="276" w:lineRule="auto"/>
        <w:ind w:left="141" w:right="292" w:firstLine="567"/>
        <w:jc w:val="both"/>
        <w:rPr>
          <w:rFonts w:ascii="Bookman Old Style" w:hAnsi="Bookman Old Style"/>
          <w:spacing w:val="-12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Przygotowując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wieloletnią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prognozę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finansową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uwzględniono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dotychczasowe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 xml:space="preserve">kształtowanie </w:t>
      </w:r>
      <w:r>
        <w:rPr>
          <w:rFonts w:ascii="Bookman Old Style" w:hAnsi="Bookman Old Style"/>
          <w:sz w:val="24"/>
          <w:szCs w:val="24"/>
        </w:rPr>
        <w:t>się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dochodów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budżetu</w:t>
      </w:r>
      <w:r>
        <w:rPr>
          <w:rFonts w:ascii="Bookman Old Style" w:hAnsi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Gminy</w:t>
      </w:r>
      <w:r>
        <w:rPr>
          <w:rFonts w:ascii="Bookman Old Style" w:hAnsi="Bookman Old Style"/>
          <w:spacing w:val="-12"/>
          <w:sz w:val="24"/>
          <w:szCs w:val="24"/>
        </w:rPr>
        <w:t xml:space="preserve"> Srokowo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oraz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przewidywania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następne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lata.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Stosownie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color w:val="0F0F0F"/>
          <w:sz w:val="24"/>
          <w:szCs w:val="24"/>
        </w:rPr>
        <w:t xml:space="preserve">do </w:t>
      </w:r>
      <w:r>
        <w:rPr>
          <w:rFonts w:ascii="Bookman Old Style" w:hAnsi="Bookman Old Style"/>
          <w:sz w:val="24"/>
          <w:szCs w:val="24"/>
        </w:rPr>
        <w:t>przepisów ustawy o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podatkach i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opłatach lokalnych wysokość stawek podatku od </w:t>
      </w:r>
      <w:r>
        <w:rPr>
          <w:rFonts w:ascii="Bookman Old Style" w:hAnsi="Bookman Old Style"/>
          <w:spacing w:val="-2"/>
          <w:sz w:val="24"/>
          <w:szCs w:val="24"/>
        </w:rPr>
        <w:t>nieruchomości nie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mogą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przekroczyć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górnych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granic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stawek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kwotowych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 xml:space="preserve">ogłoszonych przez </w:t>
      </w:r>
      <w:r>
        <w:rPr>
          <w:rFonts w:ascii="Bookman Old Style" w:hAnsi="Bookman Old Style"/>
          <w:sz w:val="24"/>
          <w:szCs w:val="24"/>
        </w:rPr>
        <w:t>Ministra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Finansów. Wpływy </w:t>
      </w:r>
      <w:r>
        <w:rPr>
          <w:rFonts w:ascii="Bookman Old Style" w:hAnsi="Bookman Old Style"/>
          <w:color w:val="080808"/>
          <w:sz w:val="24"/>
          <w:szCs w:val="24"/>
        </w:rPr>
        <w:t>z</w:t>
      </w:r>
      <w:r>
        <w:rPr>
          <w:rFonts w:ascii="Bookman Old Style" w:hAnsi="Bookman Old Style"/>
          <w:color w:val="080808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tytułu podatku od nieruchomości na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2024 rok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zaplanowano 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oparciu </w:t>
      </w:r>
      <w:r>
        <w:rPr>
          <w:rFonts w:ascii="Bookman Old Style" w:hAnsi="Bookman Old Style"/>
          <w:color w:val="131313"/>
          <w:sz w:val="24"/>
          <w:szCs w:val="24"/>
        </w:rPr>
        <w:t xml:space="preserve">o </w:t>
      </w:r>
      <w:r>
        <w:rPr>
          <w:rFonts w:ascii="Bookman Old Style" w:hAnsi="Bookman Old Style"/>
          <w:sz w:val="24"/>
          <w:szCs w:val="24"/>
        </w:rPr>
        <w:t xml:space="preserve">planowane na 2024 rok stawki podatku </w:t>
      </w:r>
      <w:r>
        <w:rPr>
          <w:rFonts w:ascii="Bookman Old Style" w:hAnsi="Bookman Old Style"/>
          <w:color w:val="0C0C0C"/>
          <w:sz w:val="24"/>
          <w:szCs w:val="24"/>
        </w:rPr>
        <w:t xml:space="preserve">od </w:t>
      </w:r>
      <w:r>
        <w:rPr>
          <w:rFonts w:ascii="Bookman Old Style" w:hAnsi="Bookman Old Style"/>
          <w:sz w:val="24"/>
          <w:szCs w:val="24"/>
        </w:rPr>
        <w:t xml:space="preserve">nieruchomości oraz zasób </w:t>
      </w:r>
      <w:r>
        <w:rPr>
          <w:rFonts w:ascii="Bookman Old Style" w:hAnsi="Bookman Old Style"/>
          <w:spacing w:val="-6"/>
          <w:sz w:val="24"/>
          <w:szCs w:val="24"/>
        </w:rPr>
        <w:t>nieruchomości</w:t>
      </w:r>
      <w:r>
        <w:rPr>
          <w:rFonts w:ascii="Bookman Old Style" w:hAnsi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Gminy,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stanowiący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przedmiot opodatkowania.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 latach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następnych zakłada się </w:t>
      </w:r>
      <w:r>
        <w:rPr>
          <w:rFonts w:ascii="Bookman Old Style" w:hAnsi="Bookman Old Style"/>
          <w:spacing w:val="-2"/>
          <w:sz w:val="24"/>
          <w:szCs w:val="24"/>
        </w:rPr>
        <w:t>wzrostowy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trend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wpływów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z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tego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podatku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i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 xml:space="preserve">zwiększanie dochodów będących konsekwencją </w:t>
      </w:r>
      <w:r>
        <w:rPr>
          <w:rFonts w:ascii="Bookman Old Style" w:hAnsi="Bookman Old Style"/>
          <w:sz w:val="24"/>
          <w:szCs w:val="24"/>
        </w:rPr>
        <w:t>planowanego wzrostu stawek podatkowych oraz corocznego przyrostu przedmiotów opodatkowania związanych z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prowadzeniem działalności gospodarczej oraz budynków mieszkalnych. Wpływy Gminy z tytułu udziału w PIT w 2024 r. zaplanowano zgodnie z </w:t>
      </w:r>
      <w:r>
        <w:rPr>
          <w:rFonts w:ascii="Bookman Old Style" w:hAnsi="Bookman Old Style"/>
          <w:spacing w:val="-6"/>
          <w:sz w:val="24"/>
          <w:szCs w:val="24"/>
        </w:rPr>
        <w:t>informacją o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planowanej</w:t>
      </w:r>
      <w:r>
        <w:rPr>
          <w:rFonts w:ascii="Bookman Old Style" w:hAnsi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2024 r.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kwocie dochodów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color w:val="111111"/>
          <w:spacing w:val="-6"/>
          <w:sz w:val="24"/>
          <w:szCs w:val="24"/>
        </w:rPr>
        <w:t>z</w:t>
      </w:r>
      <w:r>
        <w:rPr>
          <w:rFonts w:ascii="Bookman Old Style" w:hAnsi="Bookman Old Style"/>
          <w:color w:val="111111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tytułu udziału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we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wpływach</w:t>
      </w:r>
      <w:r>
        <w:rPr>
          <w:rFonts w:ascii="Bookman Old Style" w:hAnsi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/>
          <w:color w:val="151515"/>
          <w:spacing w:val="-6"/>
          <w:sz w:val="24"/>
          <w:szCs w:val="24"/>
        </w:rPr>
        <w:t>z</w:t>
      </w:r>
      <w:r>
        <w:rPr>
          <w:rFonts w:ascii="Bookman Old Style" w:hAnsi="Bookman Old Style"/>
          <w:color w:val="151515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podatku </w:t>
      </w:r>
      <w:r>
        <w:rPr>
          <w:rFonts w:ascii="Bookman Old Style" w:hAnsi="Bookman Old Style"/>
          <w:spacing w:val="-4"/>
          <w:sz w:val="24"/>
          <w:szCs w:val="24"/>
        </w:rPr>
        <w:t>dochodowego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przekazaną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przez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Ministra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</w:p>
    <w:p w14:paraId="4E463FC0" w14:textId="77777777" w:rsidR="00D077DE" w:rsidRDefault="00D077DE" w:rsidP="00D077DE">
      <w:pPr>
        <w:pStyle w:val="Tekstpodstawowy"/>
        <w:spacing w:line="276" w:lineRule="auto"/>
        <w:ind w:left="141" w:right="292" w:firstLine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Finansów.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Planowaną kwotę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subwencji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ogólnej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oraz dotacji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celowych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12"/>
          <w:sz w:val="24"/>
          <w:szCs w:val="24"/>
        </w:rPr>
        <w:br/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budżetu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państwa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(innych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niż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środki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dofinansowanie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realizacji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projektów </w:t>
      </w:r>
      <w:r>
        <w:rPr>
          <w:rFonts w:ascii="Bookman Old Style" w:hAnsi="Bookman Old Style"/>
          <w:sz w:val="24"/>
          <w:szCs w:val="24"/>
        </w:rPr>
        <w:t>europejskich) na 2024 rok przyjęto 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oparciu o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informacje przekazane przez Ministra Finansów. 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latach 2025-2032 założono wzrost kwoty otrzymywanych dotychczas cyklicznych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subwencji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dotacji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celowych </w:t>
      </w:r>
      <w:r>
        <w:rPr>
          <w:rFonts w:ascii="Bookman Old Style" w:hAnsi="Bookman Old Style"/>
          <w:color w:val="0F0F0F"/>
          <w:sz w:val="24"/>
          <w:szCs w:val="24"/>
        </w:rPr>
        <w:t>z</w:t>
      </w:r>
      <w:r>
        <w:rPr>
          <w:rFonts w:ascii="Bookman Old Style" w:hAnsi="Bookman Old Style"/>
          <w:color w:val="0F0F0F"/>
          <w:spacing w:val="-1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budżetu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państwa.</w:t>
      </w:r>
    </w:p>
    <w:p w14:paraId="780894F1" w14:textId="77777777" w:rsidR="00D077DE" w:rsidRDefault="00D077DE" w:rsidP="00D077DE">
      <w:pPr>
        <w:pStyle w:val="Tekstpodstawowy"/>
        <w:spacing w:before="281" w:line="276" w:lineRule="auto"/>
        <w:ind w:left="157" w:right="288" w:firstLine="5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Waloryzacji o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wskaźniki makroekonomiczne nie poddano dochodów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color w:val="111111"/>
          <w:sz w:val="24"/>
          <w:szCs w:val="24"/>
        </w:rPr>
        <w:t>o</w:t>
      </w:r>
      <w:r>
        <w:rPr>
          <w:rFonts w:ascii="Bookman Old Style" w:hAnsi="Bookman Old Style"/>
          <w:color w:val="111111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charakterze </w:t>
      </w:r>
      <w:r>
        <w:rPr>
          <w:rFonts w:ascii="Bookman Old Style" w:hAnsi="Bookman Old Style"/>
          <w:spacing w:val="-2"/>
          <w:sz w:val="24"/>
          <w:szCs w:val="24"/>
        </w:rPr>
        <w:t>majątkowym.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Dochody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majątkowe,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tym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przede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wszystkim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dochody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color w:val="0C0C0C"/>
          <w:spacing w:val="-2"/>
          <w:sz w:val="24"/>
          <w:szCs w:val="24"/>
        </w:rPr>
        <w:t>ze</w:t>
      </w:r>
      <w:r>
        <w:rPr>
          <w:rFonts w:ascii="Bookman Old Style" w:hAnsi="Bookman Old Style"/>
          <w:color w:val="0C0C0C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sprzedaży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 xml:space="preserve">majątku </w:t>
      </w:r>
      <w:r>
        <w:rPr>
          <w:rFonts w:ascii="Bookman Old Style" w:hAnsi="Bookman Old Style"/>
          <w:spacing w:val="-6"/>
          <w:sz w:val="24"/>
          <w:szCs w:val="24"/>
        </w:rPr>
        <w:t>pozbawione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są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regularności,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ich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poziom uzależniony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jest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od czynników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niezależnych,</w:t>
      </w:r>
      <w:r>
        <w:rPr>
          <w:rFonts w:ascii="Bookman Old Style" w:hAnsi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jak np. </w:t>
      </w:r>
      <w:r>
        <w:rPr>
          <w:rFonts w:ascii="Bookman Old Style" w:hAnsi="Bookman Old Style"/>
          <w:sz w:val="24"/>
          <w:szCs w:val="24"/>
        </w:rPr>
        <w:t>koniunktura na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rynku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nieruchomości.</w:t>
      </w:r>
    </w:p>
    <w:p w14:paraId="7C46ECD7" w14:textId="77777777" w:rsidR="00D077DE" w:rsidRDefault="00D077DE" w:rsidP="00D077DE">
      <w:pPr>
        <w:pStyle w:val="Nagwek1"/>
        <w:spacing w:before="274"/>
        <w:ind w:left="167"/>
        <w:rPr>
          <w:rFonts w:ascii="Bookman Old Style" w:hAnsi="Bookman Old Style"/>
          <w:spacing w:val="-2"/>
          <w:sz w:val="24"/>
          <w:szCs w:val="24"/>
        </w:rPr>
      </w:pPr>
    </w:p>
    <w:p w14:paraId="47F8E7B8" w14:textId="77777777" w:rsidR="00D077DE" w:rsidRDefault="00D077DE" w:rsidP="00D077DE">
      <w:pPr>
        <w:pStyle w:val="Nagwek1"/>
        <w:spacing w:before="274"/>
        <w:ind w:left="167"/>
        <w:rPr>
          <w:rFonts w:ascii="Bookman Old Style" w:hAnsi="Bookman Old Style"/>
          <w:spacing w:val="-2"/>
          <w:sz w:val="24"/>
          <w:szCs w:val="24"/>
        </w:rPr>
      </w:pPr>
    </w:p>
    <w:p w14:paraId="32DE622D" w14:textId="77777777" w:rsidR="00D077DE" w:rsidRDefault="00D077DE" w:rsidP="00D077DE">
      <w:pPr>
        <w:pStyle w:val="Nagwek1"/>
        <w:spacing w:before="274"/>
        <w:ind w:left="167"/>
        <w:rPr>
          <w:rFonts w:ascii="Bookman Old Style" w:hAnsi="Bookman Old Style"/>
          <w:spacing w:val="-2"/>
          <w:sz w:val="24"/>
          <w:szCs w:val="24"/>
        </w:rPr>
      </w:pPr>
    </w:p>
    <w:p w14:paraId="18691425" w14:textId="77777777" w:rsidR="00D077DE" w:rsidRDefault="00D077DE" w:rsidP="00D077DE">
      <w:pPr>
        <w:pStyle w:val="Nagwek1"/>
        <w:spacing w:before="274"/>
        <w:ind w:left="1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Wydatki</w:t>
      </w:r>
    </w:p>
    <w:p w14:paraId="123680F9" w14:textId="77777777" w:rsidR="00D077DE" w:rsidRDefault="00D077DE" w:rsidP="00D077DE">
      <w:pPr>
        <w:pStyle w:val="Tekstpodstawowy"/>
        <w:spacing w:line="230" w:lineRule="auto"/>
        <w:ind w:left="166" w:right="294" w:firstLine="5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lastRenderedPageBreak/>
        <w:t>Prognozy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wydatków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Gminy</w:t>
      </w:r>
      <w:r>
        <w:rPr>
          <w:rFonts w:ascii="Bookman Old Style" w:hAnsi="Bookman Old Style"/>
          <w:spacing w:val="-11"/>
          <w:sz w:val="24"/>
          <w:szCs w:val="24"/>
        </w:rPr>
        <w:t xml:space="preserve"> Srokowo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dokonano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podziale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na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kategorie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wydatków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bieżących </w:t>
      </w:r>
      <w:r>
        <w:rPr>
          <w:rFonts w:ascii="Bookman Old Style" w:hAnsi="Bookman Old Style"/>
          <w:sz w:val="24"/>
          <w:szCs w:val="24"/>
        </w:rPr>
        <w:t>i wydatków majątkowych.</w:t>
      </w:r>
    </w:p>
    <w:p w14:paraId="4FFE8668" w14:textId="77777777" w:rsidR="00D077DE" w:rsidRDefault="00D077DE" w:rsidP="00D077DE">
      <w:pPr>
        <w:pStyle w:val="Tekstpodstawowy"/>
        <w:ind w:left="1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6"/>
          <w:sz w:val="24"/>
          <w:szCs w:val="24"/>
        </w:rPr>
        <w:t>Wydatki</w:t>
      </w:r>
      <w:r>
        <w:rPr>
          <w:rFonts w:ascii="Bookman Old Style" w:hAnsi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bieżące prognozowano</w:t>
      </w:r>
      <w:r>
        <w:rPr>
          <w:rFonts w:ascii="Bookman Old Style" w:hAnsi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/>
          <w:color w:val="080808"/>
          <w:spacing w:val="-6"/>
          <w:sz w:val="24"/>
          <w:szCs w:val="24"/>
        </w:rPr>
        <w:t>w</w:t>
      </w:r>
      <w:r>
        <w:rPr>
          <w:rFonts w:ascii="Bookman Old Style" w:hAnsi="Bookman Old Style"/>
          <w:color w:val="080808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podziale</w:t>
      </w:r>
      <w:r>
        <w:rPr>
          <w:rFonts w:ascii="Bookman Old Style" w:hAnsi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na:</w:t>
      </w:r>
    </w:p>
    <w:p w14:paraId="7277153A" w14:textId="77777777" w:rsidR="00D077DE" w:rsidRDefault="00D077DE" w:rsidP="00D077DE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wydatki na wynagrodzenia i składniki od nich naliczane,</w:t>
      </w:r>
    </w:p>
    <w:p w14:paraId="5D763CEB" w14:textId="77777777" w:rsidR="00D077DE" w:rsidRDefault="00D077DE" w:rsidP="00D077DE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wydatki związane z realizacją ich zadań statutowych,</w:t>
      </w:r>
    </w:p>
    <w:p w14:paraId="1C0BDE1D" w14:textId="77777777" w:rsidR="00D077DE" w:rsidRDefault="00D077DE" w:rsidP="00D077DE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wydatki na dotacje na zadania bieżące,</w:t>
      </w:r>
    </w:p>
    <w:p w14:paraId="0E54B0BE" w14:textId="77777777" w:rsidR="00D077DE" w:rsidRDefault="00D077DE" w:rsidP="00D077DE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wydatki na świadczenia na rzecz osób fizycznych,</w:t>
      </w:r>
    </w:p>
    <w:p w14:paraId="620D10F5" w14:textId="77777777" w:rsidR="00D077DE" w:rsidRDefault="00D077DE" w:rsidP="00D077DE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wydatki na obsługę długu publicznego.</w:t>
      </w:r>
    </w:p>
    <w:p w14:paraId="2A508017" w14:textId="77777777" w:rsidR="00D077DE" w:rsidRDefault="00D077DE" w:rsidP="00D077DE">
      <w:pPr>
        <w:pStyle w:val="Tekstpodstawowy"/>
        <w:spacing w:line="230" w:lineRule="auto"/>
        <w:ind w:left="183" w:right="277" w:firstLine="355"/>
        <w:jc w:val="both"/>
        <w:rPr>
          <w:rFonts w:ascii="Bookman Old Style" w:hAnsi="Bookman Old Style"/>
          <w:spacing w:val="-4"/>
          <w:sz w:val="24"/>
          <w:szCs w:val="24"/>
        </w:rPr>
      </w:pPr>
    </w:p>
    <w:p w14:paraId="6D4EBA36" w14:textId="77777777" w:rsidR="00D077DE" w:rsidRDefault="00D077DE" w:rsidP="00D077DE">
      <w:pPr>
        <w:pStyle w:val="Tekstpodstawowy"/>
        <w:spacing w:line="230" w:lineRule="auto"/>
        <w:ind w:left="183" w:right="277" w:firstLine="35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Zgodnie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założeniami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przyjętymi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przy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prognozie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dochodów,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dla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wydatków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bieżących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color w:val="0F0F0F"/>
          <w:spacing w:val="-4"/>
          <w:sz w:val="24"/>
          <w:szCs w:val="24"/>
        </w:rPr>
        <w:t>w</w:t>
      </w:r>
      <w:r>
        <w:rPr>
          <w:rFonts w:ascii="Bookman Old Style" w:hAnsi="Bookman Old Style"/>
          <w:color w:val="0F0F0F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roku </w:t>
      </w:r>
      <w:r>
        <w:rPr>
          <w:rFonts w:ascii="Bookman Old Style" w:hAnsi="Bookman Old Style"/>
          <w:sz w:val="24"/>
          <w:szCs w:val="24"/>
        </w:rPr>
        <w:t>2024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przyjęto projekt budżetu.</w:t>
      </w:r>
    </w:p>
    <w:p w14:paraId="004A8AE1" w14:textId="77777777" w:rsidR="00D077DE" w:rsidRDefault="00D077DE" w:rsidP="00D077DE">
      <w:pPr>
        <w:pStyle w:val="Tekstpodstawowy"/>
        <w:spacing w:before="84" w:line="230" w:lineRule="auto"/>
        <w:ind w:left="116" w:right="334" w:firstLine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Wydatki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majątkowe obejmują przede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wszystkim przedsięwzięcia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inwestycyjne, które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ujęto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color w:val="0C0C0C"/>
          <w:spacing w:val="-4"/>
          <w:sz w:val="24"/>
          <w:szCs w:val="24"/>
        </w:rPr>
        <w:t xml:space="preserve">w </w:t>
      </w:r>
      <w:r>
        <w:rPr>
          <w:rFonts w:ascii="Bookman Old Style" w:hAnsi="Bookman Old Style"/>
          <w:spacing w:val="-4"/>
          <w:sz w:val="24"/>
          <w:szCs w:val="24"/>
        </w:rPr>
        <w:t>załączniku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color w:val="0F0F0F"/>
          <w:spacing w:val="-4"/>
          <w:sz w:val="24"/>
          <w:szCs w:val="24"/>
        </w:rPr>
        <w:t>nr</w:t>
      </w:r>
      <w:r>
        <w:rPr>
          <w:rFonts w:ascii="Bookman Old Style" w:hAnsi="Bookman Old Style"/>
          <w:color w:val="0F0F0F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color w:val="0C0C0C"/>
          <w:spacing w:val="-4"/>
          <w:sz w:val="24"/>
          <w:szCs w:val="24"/>
        </w:rPr>
        <w:t>do</w:t>
      </w:r>
      <w:r>
        <w:rPr>
          <w:rFonts w:ascii="Bookman Old Style" w:hAnsi="Bookman Old Style"/>
          <w:color w:val="0C0C0C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Wieloletniej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Prognozy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Finansowej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Gminy</w:t>
      </w:r>
      <w:r>
        <w:rPr>
          <w:rFonts w:ascii="Bookman Old Style" w:hAnsi="Bookman Old Style"/>
          <w:spacing w:val="-7"/>
          <w:sz w:val="24"/>
          <w:szCs w:val="24"/>
        </w:rPr>
        <w:t xml:space="preserve"> Srokowo</w:t>
      </w:r>
      <w:r>
        <w:rPr>
          <w:rFonts w:ascii="Bookman Old Style" w:hAnsi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na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lata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2024-2032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oraz </w:t>
      </w:r>
      <w:r>
        <w:rPr>
          <w:rFonts w:ascii="Bookman Old Style" w:hAnsi="Bookman Old Style"/>
          <w:spacing w:val="-2"/>
          <w:sz w:val="24"/>
          <w:szCs w:val="24"/>
        </w:rPr>
        <w:t>ujęte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załączniku inwestycyjnym</w:t>
      </w:r>
      <w:r>
        <w:rPr>
          <w:rFonts w:ascii="Bookman Old Style" w:hAnsi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do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projektu budżetu na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2024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rok.</w:t>
      </w:r>
    </w:p>
    <w:p w14:paraId="46BE8486" w14:textId="77777777" w:rsidR="00D077DE" w:rsidRDefault="00D077DE" w:rsidP="00D077DE">
      <w:pPr>
        <w:pStyle w:val="Nagwek1"/>
        <w:ind w:left="11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5"/>
          <w:sz w:val="24"/>
          <w:szCs w:val="24"/>
        </w:rPr>
        <w:t xml:space="preserve">Wynik </w:t>
      </w:r>
      <w:r>
        <w:rPr>
          <w:rFonts w:ascii="Bookman Old Style" w:hAnsi="Bookman Old Style"/>
          <w:spacing w:val="-2"/>
          <w:sz w:val="24"/>
          <w:szCs w:val="24"/>
        </w:rPr>
        <w:t>budżetu</w:t>
      </w:r>
    </w:p>
    <w:p w14:paraId="15EED7A9" w14:textId="77777777" w:rsidR="00D077DE" w:rsidRDefault="00D077DE" w:rsidP="00D077DE">
      <w:pPr>
        <w:pStyle w:val="Tekstpodstawowy"/>
        <w:spacing w:line="228" w:lineRule="auto"/>
        <w:ind w:left="119" w:right="328" w:firstLine="5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Wynik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budżetu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w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prognozowanym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okresie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jest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ściśle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powiązany </w:t>
      </w:r>
      <w:r>
        <w:rPr>
          <w:rFonts w:ascii="Bookman Old Style" w:hAnsi="Bookman Old Style"/>
          <w:spacing w:val="-4"/>
          <w:sz w:val="24"/>
          <w:szCs w:val="24"/>
        </w:rPr>
        <w:br/>
        <w:t>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przyjętymi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założeniami do </w:t>
      </w:r>
      <w:r>
        <w:rPr>
          <w:rFonts w:ascii="Bookman Old Style" w:hAnsi="Bookman Old Style"/>
          <w:spacing w:val="-2"/>
          <w:sz w:val="24"/>
          <w:szCs w:val="24"/>
        </w:rPr>
        <w:t>prognozy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dochodów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i</w:t>
      </w:r>
      <w:r>
        <w:rPr>
          <w:rFonts w:ascii="Bookman Old Style" w:hAnsi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wydatków.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Fakt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prognozowania</w:t>
      </w:r>
      <w:r>
        <w:rPr>
          <w:rFonts w:ascii="Bookman Old Style" w:hAnsi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oparciu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color w:val="0E0E0E"/>
          <w:spacing w:val="-2"/>
          <w:sz w:val="24"/>
          <w:szCs w:val="24"/>
        </w:rPr>
        <w:t>o</w:t>
      </w:r>
      <w:r>
        <w:rPr>
          <w:rFonts w:ascii="Bookman Old Style" w:hAnsi="Bookman Old Style"/>
          <w:color w:val="0E0E0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dane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 xml:space="preserve">makroekonomiczne </w:t>
      </w:r>
      <w:r>
        <w:rPr>
          <w:rFonts w:ascii="Bookman Old Style" w:hAnsi="Bookman Old Style"/>
          <w:color w:val="0C0C0C"/>
          <w:spacing w:val="-6"/>
          <w:sz w:val="24"/>
          <w:szCs w:val="24"/>
        </w:rPr>
        <w:t>o</w:t>
      </w:r>
      <w:r>
        <w:rPr>
          <w:rFonts w:ascii="Bookman Old Style" w:hAnsi="Bookman Old Style"/>
          <w:color w:val="0C0C0C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niewielkiej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zmienności</w:t>
      </w:r>
      <w:r>
        <w:rPr>
          <w:rFonts w:ascii="Bookman Old Style" w:hAnsi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powoduje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zrównoważony</w:t>
      </w:r>
      <w:r>
        <w:rPr>
          <w:rFonts w:ascii="Bookman Old Style" w:hAnsi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i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stabilny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wzrost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>dochodów oraz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wydatków </w:t>
      </w:r>
      <w:r>
        <w:rPr>
          <w:rFonts w:ascii="Bookman Old Style" w:hAnsi="Bookman Old Style"/>
          <w:spacing w:val="-2"/>
          <w:sz w:val="24"/>
          <w:szCs w:val="24"/>
        </w:rPr>
        <w:t>bieżących,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któremu można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przypisać cechy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statystyczne. W</w:t>
      </w:r>
      <w:r>
        <w:rPr>
          <w:rFonts w:ascii="Bookman Old Style" w:hAnsi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całym prognozowanym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 xml:space="preserve">okresie </w:t>
      </w:r>
      <w:r>
        <w:rPr>
          <w:rFonts w:ascii="Bookman Old Style" w:hAnsi="Bookman Old Style"/>
          <w:spacing w:val="-4"/>
          <w:sz w:val="24"/>
          <w:szCs w:val="24"/>
        </w:rPr>
        <w:t>utrzymana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została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relacja </w:t>
      </w:r>
      <w:r>
        <w:rPr>
          <w:rFonts w:ascii="Bookman Old Style" w:hAnsi="Bookman Old Style"/>
          <w:color w:val="032318"/>
          <w:spacing w:val="-4"/>
          <w:sz w:val="24"/>
          <w:szCs w:val="24"/>
        </w:rPr>
        <w:t>z</w:t>
      </w:r>
      <w:r>
        <w:rPr>
          <w:rFonts w:ascii="Bookman Old Style" w:hAnsi="Bookman Old Style"/>
          <w:color w:val="032318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art.</w:t>
      </w:r>
      <w:r>
        <w:rPr>
          <w:rFonts w:ascii="Bookman Old Style" w:hAnsi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242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(brak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deficytu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bieżącego)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oraz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art.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243</w:t>
      </w:r>
      <w:r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ustawy</w:t>
      </w:r>
      <w:r>
        <w:rPr>
          <w:rFonts w:ascii="Bookman Old Style" w:hAnsi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>o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finansach </w:t>
      </w:r>
      <w:r>
        <w:rPr>
          <w:rFonts w:ascii="Bookman Old Style" w:hAnsi="Bookman Old Style"/>
          <w:sz w:val="24"/>
          <w:szCs w:val="24"/>
        </w:rPr>
        <w:t xml:space="preserve">publicznych. </w:t>
      </w:r>
    </w:p>
    <w:p w14:paraId="06D41B21" w14:textId="77777777" w:rsidR="00D077DE" w:rsidRDefault="00D077DE" w:rsidP="00D077DE">
      <w:pPr>
        <w:pStyle w:val="Tekstpodstawowy"/>
        <w:spacing w:line="228" w:lineRule="auto"/>
        <w:ind w:left="119" w:right="328" w:firstLine="5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2024 roku występuje deficyt budżetu, który zostanie pokryty środkami </w:t>
      </w:r>
      <w:r>
        <w:rPr>
          <w:rFonts w:ascii="Bookman Old Style" w:hAnsi="Bookman Old Style"/>
          <w:spacing w:val="-2"/>
          <w:sz w:val="24"/>
          <w:szCs w:val="24"/>
        </w:rPr>
        <w:t>niewykorzystanymi</w:t>
      </w:r>
      <w:r>
        <w:rPr>
          <w:rFonts w:ascii="Bookman Old Style" w:hAnsi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>w</w:t>
      </w:r>
      <w:r>
        <w:rPr>
          <w:rFonts w:ascii="Bookman Old Style" w:hAnsi="Bookman Old Style"/>
          <w:spacing w:val="-12"/>
          <w:sz w:val="24"/>
          <w:szCs w:val="24"/>
        </w:rPr>
        <w:t xml:space="preserve"> latach poprzednich</w:t>
      </w:r>
      <w:r>
        <w:rPr>
          <w:rFonts w:ascii="Bookman Old Style" w:hAnsi="Bookman Old Style"/>
          <w:spacing w:val="-2"/>
          <w:sz w:val="24"/>
          <w:szCs w:val="24"/>
        </w:rPr>
        <w:t xml:space="preserve"> ora</w:t>
      </w:r>
      <w:r>
        <w:rPr>
          <w:rFonts w:ascii="Bookman Old Style" w:hAnsi="Bookman Old Style"/>
          <w:spacing w:val="-6"/>
          <w:sz w:val="24"/>
          <w:szCs w:val="24"/>
        </w:rPr>
        <w:t xml:space="preserve">z środkami z kredytu. </w:t>
      </w:r>
      <w:r>
        <w:rPr>
          <w:rFonts w:ascii="Bookman Old Style" w:hAnsi="Bookman Old Style"/>
          <w:spacing w:val="-6"/>
          <w:sz w:val="24"/>
          <w:szCs w:val="24"/>
        </w:rPr>
        <w:br/>
        <w:t>W latach 2025-2032 prognozuję się wystąpienie nadwyżki budżetu, która przeznaczona będzie na spłatę rat kapitałowych zaciągniętego kredytu.</w:t>
      </w:r>
    </w:p>
    <w:p w14:paraId="12218553" w14:textId="77777777" w:rsidR="00D077DE" w:rsidRDefault="00D077DE" w:rsidP="00D077DE">
      <w:pPr>
        <w:pStyle w:val="Tekstpodstawowy"/>
        <w:spacing w:before="272"/>
        <w:ind w:left="11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pacing w:val="-2"/>
          <w:sz w:val="24"/>
          <w:szCs w:val="24"/>
        </w:rPr>
        <w:t>Przychody</w:t>
      </w:r>
    </w:p>
    <w:p w14:paraId="2B048DCE" w14:textId="77777777" w:rsidR="00D077DE" w:rsidRDefault="00D077DE" w:rsidP="00D077DE">
      <w:pPr>
        <w:pStyle w:val="Tekstpodstawowy"/>
        <w:spacing w:before="270" w:line="230" w:lineRule="auto"/>
        <w:ind w:left="127" w:right="333" w:firstLine="581"/>
        <w:jc w:val="both"/>
        <w:rPr>
          <w:rFonts w:ascii="Bookman Old Style" w:hAnsi="Bookman Old Style"/>
          <w:spacing w:val="-8"/>
          <w:sz w:val="24"/>
          <w:szCs w:val="24"/>
        </w:rPr>
      </w:pPr>
      <w:r>
        <w:rPr>
          <w:rFonts w:ascii="Bookman Old Style" w:hAnsi="Bookman Old Style"/>
          <w:color w:val="0A0A0A"/>
          <w:spacing w:val="-8"/>
          <w:sz w:val="24"/>
          <w:szCs w:val="24"/>
        </w:rPr>
        <w:t xml:space="preserve">W </w:t>
      </w:r>
      <w:r>
        <w:rPr>
          <w:rFonts w:ascii="Bookman Old Style" w:hAnsi="Bookman Old Style"/>
          <w:spacing w:val="-8"/>
          <w:sz w:val="24"/>
          <w:szCs w:val="24"/>
        </w:rPr>
        <w:t>2024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roku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planuje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się</w:t>
      </w:r>
      <w:r>
        <w:rPr>
          <w:rFonts w:ascii="Bookman Old Style" w:hAnsi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przychody w łącznej kwocie  7 957 826,20 zł, w tym:</w:t>
      </w:r>
    </w:p>
    <w:p w14:paraId="68C0EAB4" w14:textId="77777777" w:rsidR="00D077DE" w:rsidRDefault="00D077DE" w:rsidP="00D077DE">
      <w:pPr>
        <w:pStyle w:val="Tekstpodstawowy"/>
        <w:numPr>
          <w:ilvl w:val="0"/>
          <w:numId w:val="11"/>
        </w:numPr>
        <w:spacing w:line="230" w:lineRule="auto"/>
        <w:ind w:right="333"/>
        <w:jc w:val="both"/>
        <w:rPr>
          <w:rFonts w:ascii="Bookman Old Style" w:hAnsi="Bookman Old Style"/>
          <w:spacing w:val="-8"/>
          <w:sz w:val="24"/>
          <w:szCs w:val="24"/>
        </w:rPr>
      </w:pPr>
      <w:r>
        <w:rPr>
          <w:rFonts w:ascii="Bookman Old Style" w:hAnsi="Bookman Old Style"/>
          <w:spacing w:val="-8"/>
          <w:sz w:val="24"/>
          <w:szCs w:val="24"/>
        </w:rPr>
        <w:t>środki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pieniężne</w:t>
      </w:r>
      <w:r>
        <w:rPr>
          <w:rFonts w:ascii="Bookman Old Style" w:hAnsi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niewykorzystane w roku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pacing w:val="-8"/>
          <w:sz w:val="24"/>
          <w:szCs w:val="24"/>
        </w:rPr>
        <w:t>ubiegłym – 3 457 826,20 zł,</w:t>
      </w:r>
    </w:p>
    <w:p w14:paraId="4BF8F78C" w14:textId="77777777" w:rsidR="00D077DE" w:rsidRDefault="00D077DE" w:rsidP="00D077DE">
      <w:pPr>
        <w:pStyle w:val="Tekstpodstawowy"/>
        <w:numPr>
          <w:ilvl w:val="0"/>
          <w:numId w:val="11"/>
        </w:numPr>
        <w:spacing w:line="230" w:lineRule="auto"/>
        <w:ind w:right="33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8"/>
          <w:sz w:val="24"/>
          <w:szCs w:val="24"/>
        </w:rPr>
        <w:t xml:space="preserve">wolne </w:t>
      </w:r>
      <w:r>
        <w:rPr>
          <w:rFonts w:ascii="Bookman Old Style" w:hAnsi="Bookman Old Style"/>
          <w:sz w:val="24"/>
          <w:szCs w:val="24"/>
        </w:rPr>
        <w:t>środki – 500 000,- zł,</w:t>
      </w:r>
    </w:p>
    <w:p w14:paraId="293D8EE0" w14:textId="77777777" w:rsidR="00D077DE" w:rsidRDefault="00D077DE" w:rsidP="00D077DE">
      <w:pPr>
        <w:pStyle w:val="Tekstpodstawowy"/>
        <w:numPr>
          <w:ilvl w:val="0"/>
          <w:numId w:val="11"/>
        </w:numPr>
        <w:spacing w:line="230" w:lineRule="auto"/>
        <w:ind w:right="33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środki </w:t>
      </w:r>
      <w:r>
        <w:rPr>
          <w:rFonts w:ascii="Bookman Old Style" w:hAnsi="Bookman Old Style"/>
          <w:color w:val="0F0F0F"/>
          <w:sz w:val="24"/>
          <w:szCs w:val="24"/>
        </w:rPr>
        <w:t>z kredytu</w:t>
      </w:r>
      <w:r>
        <w:rPr>
          <w:rFonts w:ascii="Bookman Old Style" w:hAnsi="Bookman Old Style"/>
          <w:sz w:val="24"/>
          <w:szCs w:val="24"/>
        </w:rPr>
        <w:t xml:space="preserve"> – 4 000 000,-zł.</w:t>
      </w:r>
    </w:p>
    <w:p w14:paraId="399EF91F" w14:textId="77777777" w:rsidR="00D077DE" w:rsidRDefault="00D077DE" w:rsidP="00D077DE">
      <w:pPr>
        <w:pStyle w:val="Nagwek1"/>
        <w:ind w:left="13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Rozchody</w:t>
      </w:r>
    </w:p>
    <w:p w14:paraId="22C7FA9F" w14:textId="77777777" w:rsidR="00D077DE" w:rsidRDefault="00D077DE" w:rsidP="00D077DE">
      <w:pPr>
        <w:pStyle w:val="Tekstpodstawowy"/>
        <w:spacing w:before="276" w:line="228" w:lineRule="auto"/>
        <w:ind w:left="132" w:right="333" w:firstLine="57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Spłata</w:t>
      </w:r>
      <w:r>
        <w:rPr>
          <w:rFonts w:ascii="Bookman Old Style" w:hAnsi="Bookman Old Style"/>
          <w:spacing w:val="-16"/>
          <w:sz w:val="24"/>
          <w:szCs w:val="24"/>
        </w:rPr>
        <w:t xml:space="preserve"> rat kapitałowych kredytu zaciągniętego </w:t>
      </w:r>
      <w:r>
        <w:rPr>
          <w:rFonts w:ascii="Bookman Old Style" w:hAnsi="Bookman Old Style"/>
          <w:spacing w:val="-15"/>
          <w:sz w:val="24"/>
          <w:szCs w:val="24"/>
        </w:rPr>
        <w:t xml:space="preserve"> w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2024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r.</w:t>
      </w:r>
      <w:r>
        <w:rPr>
          <w:rFonts w:ascii="Bookman Old Style" w:hAnsi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planowana</w:t>
      </w:r>
      <w:r>
        <w:rPr>
          <w:rFonts w:ascii="Bookman Old Style" w:hAnsi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jest</w:t>
      </w:r>
      <w:r>
        <w:rPr>
          <w:rFonts w:ascii="Bookman Old Style" w:hAnsi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roku</w:t>
      </w:r>
      <w:r>
        <w:rPr>
          <w:rFonts w:ascii="Bookman Old Style" w:hAnsi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2032 według poniższego  harmonogramu:</w:t>
      </w:r>
    </w:p>
    <w:p w14:paraId="6CE66FDD" w14:textId="77777777" w:rsidR="00D077DE" w:rsidRDefault="00D077DE" w:rsidP="00D077DE">
      <w:pPr>
        <w:pStyle w:val="Tekstpodstawowy"/>
        <w:numPr>
          <w:ilvl w:val="0"/>
          <w:numId w:val="12"/>
        </w:numPr>
        <w:spacing w:line="228" w:lineRule="auto"/>
        <w:ind w:right="33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rok 2024 – 250 000,- zł,</w:t>
      </w:r>
    </w:p>
    <w:p w14:paraId="5F5E63C6" w14:textId="77777777" w:rsidR="00D077DE" w:rsidRDefault="00D077DE" w:rsidP="00D077DE">
      <w:pPr>
        <w:pStyle w:val="Tekstpodstawowy"/>
        <w:numPr>
          <w:ilvl w:val="0"/>
          <w:numId w:val="12"/>
        </w:numPr>
        <w:spacing w:line="228" w:lineRule="auto"/>
        <w:ind w:right="33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lata 2025-2031 – 500 000,- zł rocznie,</w:t>
      </w:r>
    </w:p>
    <w:p w14:paraId="432691C0" w14:textId="77777777" w:rsidR="00D077DE" w:rsidRDefault="00D077DE" w:rsidP="00D077DE">
      <w:pPr>
        <w:pStyle w:val="Tekstpodstawowy"/>
        <w:numPr>
          <w:ilvl w:val="0"/>
          <w:numId w:val="12"/>
        </w:numPr>
        <w:spacing w:line="228" w:lineRule="auto"/>
        <w:ind w:right="33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rok 2032 – 250 000,- zł.</w:t>
      </w:r>
    </w:p>
    <w:p w14:paraId="39B23F07" w14:textId="77777777" w:rsidR="00D077DE" w:rsidRDefault="00D077DE" w:rsidP="00D077DE">
      <w:pPr>
        <w:pStyle w:val="Nagwek1"/>
        <w:spacing w:before="278"/>
        <w:ind w:left="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Przedsięwzięcia</w:t>
      </w:r>
    </w:p>
    <w:p w14:paraId="0628C5F0" w14:textId="77777777" w:rsidR="00D077DE" w:rsidRDefault="00D077DE" w:rsidP="00D077DE">
      <w:pPr>
        <w:pStyle w:val="Tekstpodstawowy"/>
        <w:spacing w:before="266" w:line="230" w:lineRule="auto"/>
        <w:ind w:left="142" w:right="333" w:firstLine="56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załączniku nr 2 - Przedsięwzięcia do Wieloletniej Prognozy Finansowej przedstawiono szczegółowy wykaz zadań.</w:t>
      </w:r>
    </w:p>
    <w:p w14:paraId="0109928D" w14:textId="77777777" w:rsidR="004A53DB" w:rsidRDefault="004A53DB" w:rsidP="00D077DE">
      <w:pPr>
        <w:pStyle w:val="Nagwek1"/>
        <w:spacing w:before="0" w:line="228" w:lineRule="auto"/>
        <w:ind w:right="650"/>
        <w:jc w:val="center"/>
      </w:pPr>
    </w:p>
    <w:sectPr w:rsidR="004A53DB" w:rsidSect="005F28FE">
      <w:pgSz w:w="12240" w:h="15840"/>
      <w:pgMar w:top="851" w:right="1134" w:bottom="851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458"/>
    <w:multiLevelType w:val="hybridMultilevel"/>
    <w:tmpl w:val="1D70909A"/>
    <w:lvl w:ilvl="0" w:tplc="D7FA129E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0A70CF"/>
    <w:multiLevelType w:val="hybridMultilevel"/>
    <w:tmpl w:val="1C203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B0A"/>
    <w:multiLevelType w:val="hybridMultilevel"/>
    <w:tmpl w:val="112E5254"/>
    <w:lvl w:ilvl="0" w:tplc="D7FA129E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24600"/>
    <w:multiLevelType w:val="hybridMultilevel"/>
    <w:tmpl w:val="4284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26E81"/>
    <w:multiLevelType w:val="hybridMultilevel"/>
    <w:tmpl w:val="BA6A1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1977"/>
    <w:multiLevelType w:val="hybridMultilevel"/>
    <w:tmpl w:val="3DCA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7361">
    <w:abstractNumId w:val="1"/>
  </w:num>
  <w:num w:numId="2" w16cid:durableId="536282338">
    <w:abstractNumId w:val="5"/>
  </w:num>
  <w:num w:numId="3" w16cid:durableId="217715740">
    <w:abstractNumId w:val="3"/>
  </w:num>
  <w:num w:numId="4" w16cid:durableId="931666064">
    <w:abstractNumId w:val="0"/>
  </w:num>
  <w:num w:numId="5" w16cid:durableId="185336663">
    <w:abstractNumId w:val="4"/>
  </w:num>
  <w:num w:numId="6" w16cid:durableId="171771974">
    <w:abstractNumId w:val="2"/>
  </w:num>
  <w:num w:numId="7" w16cid:durableId="768089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7353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7196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07337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0137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1414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A"/>
    <w:rsid w:val="0027631A"/>
    <w:rsid w:val="0043504B"/>
    <w:rsid w:val="004A53DB"/>
    <w:rsid w:val="00D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3CF"/>
  <w15:chartTrackingRefBased/>
  <w15:docId w15:val="{605C4791-F752-4FE8-87F1-EFD4958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31A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7631A"/>
    <w:pPr>
      <w:widowControl w:val="0"/>
      <w:autoSpaceDE w:val="0"/>
      <w:autoSpaceDN w:val="0"/>
      <w:spacing w:before="270" w:after="0" w:line="240" w:lineRule="auto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31A"/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paragraph" w:styleId="Akapitzlist">
    <w:name w:val="List Paragraph"/>
    <w:basedOn w:val="Normalny"/>
    <w:uiPriority w:val="34"/>
    <w:qFormat/>
    <w:rsid w:val="0027631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76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631A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k.heine</dc:creator>
  <cp:keywords/>
  <dc:description/>
  <cp:lastModifiedBy>m.dacko</cp:lastModifiedBy>
  <cp:revision>3</cp:revision>
  <dcterms:created xsi:type="dcterms:W3CDTF">2023-12-15T07:35:00Z</dcterms:created>
  <dcterms:modified xsi:type="dcterms:W3CDTF">2023-12-22T10:04:00Z</dcterms:modified>
</cp:coreProperties>
</file>